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heme="minorEastAsia" w:hAnsiTheme="minorEastAsia"/>
          <w:b/>
          <w:bCs/>
          <w:sz w:val="28"/>
          <w:szCs w:val="28"/>
        </w:rPr>
      </w:pPr>
      <w:r>
        <w:rPr>
          <w:rFonts w:asciiTheme="minorEastAsia" w:hAnsiTheme="minorEastAsia"/>
          <w:b/>
          <w:bCs/>
          <w:sz w:val="28"/>
          <w:szCs w:val="28"/>
        </w:rPr>
        <w:t>附件：</w:t>
      </w:r>
    </w:p>
    <w:p>
      <w:pPr>
        <w:spacing w:line="360" w:lineRule="auto"/>
        <w:jc w:val="center"/>
        <w:rPr>
          <w:rFonts w:asciiTheme="minorEastAsia" w:hAnsiTheme="minorEastAsia"/>
          <w:b/>
          <w:bCs/>
          <w:sz w:val="28"/>
          <w:szCs w:val="28"/>
        </w:rPr>
      </w:pPr>
      <w:bookmarkStart w:id="0" w:name="_GoBack"/>
      <w:r>
        <w:rPr>
          <w:rFonts w:asciiTheme="minorEastAsia" w:hAnsiTheme="minorEastAsia"/>
          <w:b/>
          <w:bCs/>
          <w:sz w:val="28"/>
          <w:szCs w:val="28"/>
        </w:rPr>
        <w:t>2014年应用统计硕士专业学位授权点</w:t>
      </w:r>
    </w:p>
    <w:p>
      <w:pPr>
        <w:spacing w:afterLines="50" w:line="360" w:lineRule="auto"/>
        <w:jc w:val="center"/>
        <w:rPr>
          <w:rFonts w:asciiTheme="minorEastAsia" w:hAnsiTheme="minorEastAsia"/>
          <w:b/>
          <w:bCs/>
          <w:sz w:val="28"/>
          <w:szCs w:val="28"/>
        </w:rPr>
      </w:pPr>
      <w:r>
        <w:rPr>
          <w:rFonts w:asciiTheme="minorEastAsia" w:hAnsiTheme="minorEastAsia"/>
          <w:b/>
          <w:bCs/>
          <w:sz w:val="28"/>
          <w:szCs w:val="28"/>
        </w:rPr>
        <w:t>专项评估工作方案</w:t>
      </w:r>
    </w:p>
    <w:bookmarkEnd w:id="0"/>
    <w:p>
      <w:pPr>
        <w:spacing w:afterLines="50" w:line="360" w:lineRule="auto"/>
        <w:ind w:firstLine="560"/>
        <w:rPr>
          <w:rFonts w:asciiTheme="minorEastAsia" w:hAnsiTheme="minorEastAsia"/>
          <w:sz w:val="28"/>
          <w:szCs w:val="28"/>
        </w:rPr>
      </w:pPr>
      <w:r>
        <w:rPr>
          <w:rFonts w:asciiTheme="minorEastAsia" w:hAnsiTheme="minorEastAsia"/>
          <w:sz w:val="28"/>
          <w:szCs w:val="28"/>
        </w:rPr>
        <w:t>根据国务院学位委员会、教育部《关于开展2014年学位授权点专项评估工作的通知》（学位</w:t>
      </w:r>
      <w:r>
        <w:rPr>
          <w:rFonts w:hint="eastAsia" w:asciiTheme="minorEastAsia" w:hAnsiTheme="minorEastAsia"/>
          <w:sz w:val="28"/>
          <w:szCs w:val="28"/>
        </w:rPr>
        <w:t>〔</w:t>
      </w:r>
      <w:r>
        <w:rPr>
          <w:rFonts w:asciiTheme="minorEastAsia" w:hAnsiTheme="minorEastAsia"/>
          <w:sz w:val="28"/>
          <w:szCs w:val="28"/>
        </w:rPr>
        <w:t>2014</w:t>
      </w:r>
      <w:r>
        <w:rPr>
          <w:rFonts w:hint="eastAsia" w:asciiTheme="minorEastAsia" w:hAnsiTheme="minorEastAsia"/>
          <w:sz w:val="28"/>
          <w:szCs w:val="28"/>
        </w:rPr>
        <w:t>〕</w:t>
      </w:r>
      <w:r>
        <w:rPr>
          <w:rFonts w:asciiTheme="minorEastAsia" w:hAnsiTheme="minorEastAsia"/>
          <w:sz w:val="28"/>
          <w:szCs w:val="28"/>
        </w:rPr>
        <w:t>17号）文件精神和要求，现就2014年应用统计硕士专业学位授权点专项评估工作安排如下：</w:t>
      </w:r>
    </w:p>
    <w:p>
      <w:pPr>
        <w:spacing w:afterLines="50" w:line="360" w:lineRule="auto"/>
        <w:ind w:firstLine="560"/>
        <w:rPr>
          <w:rFonts w:asciiTheme="minorEastAsia" w:hAnsiTheme="minorEastAsia"/>
          <w:sz w:val="28"/>
          <w:szCs w:val="28"/>
        </w:rPr>
      </w:pPr>
      <w:r>
        <w:rPr>
          <w:rFonts w:asciiTheme="minorEastAsia" w:hAnsiTheme="minorEastAsia"/>
          <w:b/>
          <w:bCs/>
          <w:color w:val="000000"/>
          <w:kern w:val="0"/>
          <w:sz w:val="28"/>
          <w:szCs w:val="28"/>
        </w:rPr>
        <w:t>一、评估范围</w:t>
      </w:r>
    </w:p>
    <w:p>
      <w:pPr>
        <w:spacing w:afterLines="50" w:line="360" w:lineRule="auto"/>
        <w:ind w:firstLine="560"/>
        <w:rPr>
          <w:rFonts w:asciiTheme="minorEastAsia" w:hAnsiTheme="minorEastAsia"/>
          <w:sz w:val="28"/>
          <w:szCs w:val="28"/>
        </w:rPr>
      </w:pPr>
      <w:r>
        <w:rPr>
          <w:rFonts w:hint="eastAsia" w:asciiTheme="minorEastAsia" w:hAnsiTheme="minorEastAsia"/>
          <w:color w:val="000000"/>
          <w:kern w:val="0"/>
          <w:sz w:val="28"/>
          <w:szCs w:val="28"/>
        </w:rPr>
        <w:t>2010</w:t>
      </w:r>
      <w:r>
        <w:rPr>
          <w:rFonts w:asciiTheme="minorEastAsia" w:hAnsiTheme="minorEastAsia"/>
          <w:color w:val="000000"/>
          <w:kern w:val="0"/>
          <w:sz w:val="28"/>
          <w:szCs w:val="28"/>
        </w:rPr>
        <w:t>年获得授权的</w:t>
      </w:r>
      <w:r>
        <w:rPr>
          <w:rFonts w:hint="eastAsia" w:asciiTheme="minorEastAsia" w:hAnsiTheme="minorEastAsia"/>
          <w:color w:val="000000"/>
          <w:kern w:val="0"/>
          <w:sz w:val="28"/>
          <w:szCs w:val="28"/>
        </w:rPr>
        <w:t>74</w:t>
      </w:r>
      <w:r>
        <w:rPr>
          <w:rFonts w:asciiTheme="minorEastAsia" w:hAnsiTheme="minorEastAsia"/>
          <w:color w:val="000000"/>
          <w:kern w:val="0"/>
          <w:sz w:val="28"/>
          <w:szCs w:val="28"/>
        </w:rPr>
        <w:t>个应用统计硕士专业学位授权点</w:t>
      </w:r>
      <w:r>
        <w:rPr>
          <w:rFonts w:hint="eastAsia" w:asciiTheme="minorEastAsia" w:hAnsiTheme="minorEastAsia"/>
          <w:color w:val="000000"/>
          <w:kern w:val="0"/>
          <w:sz w:val="28"/>
          <w:szCs w:val="28"/>
        </w:rPr>
        <w:t>，</w:t>
      </w:r>
      <w:r>
        <w:rPr>
          <w:rFonts w:asciiTheme="minorEastAsia" w:hAnsiTheme="minorEastAsia"/>
          <w:color w:val="000000"/>
          <w:kern w:val="0"/>
          <w:sz w:val="28"/>
          <w:szCs w:val="28"/>
        </w:rPr>
        <w:t>名单见附件1。</w:t>
      </w:r>
    </w:p>
    <w:p>
      <w:pPr>
        <w:spacing w:afterLines="50" w:line="360" w:lineRule="auto"/>
        <w:ind w:firstLine="560"/>
        <w:rPr>
          <w:rFonts w:asciiTheme="minorEastAsia" w:hAnsiTheme="minorEastAsia"/>
          <w:sz w:val="28"/>
          <w:szCs w:val="28"/>
        </w:rPr>
      </w:pPr>
      <w:r>
        <w:rPr>
          <w:rFonts w:asciiTheme="minorEastAsia" w:hAnsiTheme="minorEastAsia"/>
          <w:b/>
          <w:bCs/>
          <w:color w:val="000000"/>
          <w:kern w:val="0"/>
          <w:sz w:val="28"/>
          <w:szCs w:val="28"/>
        </w:rPr>
        <w:t>二、评估组织</w:t>
      </w:r>
    </w:p>
    <w:p>
      <w:pPr>
        <w:spacing w:afterLines="50" w:line="360" w:lineRule="auto"/>
        <w:ind w:firstLine="560"/>
        <w:rPr>
          <w:rFonts w:asciiTheme="minorEastAsia" w:hAnsiTheme="minorEastAsia"/>
          <w:sz w:val="28"/>
          <w:szCs w:val="28"/>
        </w:rPr>
      </w:pPr>
      <w:r>
        <w:rPr>
          <w:rFonts w:asciiTheme="minorEastAsia" w:hAnsiTheme="minorEastAsia"/>
          <w:color w:val="000000"/>
          <w:kern w:val="0"/>
          <w:sz w:val="28"/>
          <w:szCs w:val="28"/>
        </w:rPr>
        <w:t>受国务院学位委员会和教育部的委托，应用统计硕士专业学位授权点的评估工作由全国应用统计专业学位研究生教育指导委员会（以下简称“教指委”）组织实施，由“教指委”委员或相关专家组成评议专家组开展相关工作。</w:t>
      </w:r>
    </w:p>
    <w:p>
      <w:pPr>
        <w:spacing w:afterLines="50" w:line="360" w:lineRule="auto"/>
        <w:ind w:firstLine="560"/>
        <w:rPr>
          <w:rFonts w:asciiTheme="minorEastAsia" w:hAnsiTheme="minorEastAsia"/>
          <w:sz w:val="28"/>
          <w:szCs w:val="28"/>
        </w:rPr>
      </w:pPr>
      <w:r>
        <w:rPr>
          <w:rFonts w:asciiTheme="minorEastAsia" w:hAnsiTheme="minorEastAsia"/>
          <w:b/>
          <w:bCs/>
          <w:color w:val="000000"/>
          <w:kern w:val="0"/>
          <w:sz w:val="28"/>
          <w:szCs w:val="28"/>
        </w:rPr>
        <w:t>三、评估内容</w:t>
      </w:r>
    </w:p>
    <w:p>
      <w:pPr>
        <w:spacing w:afterLines="50" w:line="360" w:lineRule="auto"/>
        <w:ind w:firstLine="560"/>
        <w:rPr>
          <w:rFonts w:asciiTheme="minorEastAsia" w:hAnsiTheme="minorEastAsia"/>
          <w:sz w:val="28"/>
          <w:szCs w:val="28"/>
        </w:rPr>
      </w:pPr>
      <w:r>
        <w:rPr>
          <w:rFonts w:asciiTheme="minorEastAsia" w:hAnsiTheme="minorEastAsia"/>
          <w:color w:val="000000"/>
          <w:kern w:val="0"/>
          <w:sz w:val="28"/>
          <w:szCs w:val="28"/>
        </w:rPr>
        <w:t>专项评估主要是检查学位授权点研究生培养体系的完备性，包括师资队伍（队伍结构、导师水平）、人才培养（招生选拔、培养方案、课程教学、学术训练或实践教学、学位授予）和质量保证（制度建设、过程管理、学风建设）等。</w:t>
      </w:r>
    </w:p>
    <w:p>
      <w:pPr>
        <w:spacing w:afterLines="50" w:line="360" w:lineRule="auto"/>
        <w:ind w:firstLine="560"/>
        <w:rPr>
          <w:rFonts w:asciiTheme="minorEastAsia" w:hAnsiTheme="minorEastAsia"/>
          <w:color w:val="000000"/>
          <w:kern w:val="0"/>
          <w:sz w:val="28"/>
          <w:szCs w:val="28"/>
        </w:rPr>
      </w:pPr>
      <w:r>
        <w:rPr>
          <w:rFonts w:asciiTheme="minorEastAsia" w:hAnsiTheme="minorEastAsia"/>
          <w:color w:val="000000"/>
          <w:kern w:val="0"/>
          <w:sz w:val="28"/>
          <w:szCs w:val="28"/>
        </w:rPr>
        <w:t>专项评估的具体评估指标体系见附件2。</w:t>
      </w:r>
    </w:p>
    <w:p>
      <w:pPr>
        <w:spacing w:afterLines="50" w:line="360" w:lineRule="auto"/>
        <w:ind w:firstLine="560"/>
        <w:rPr>
          <w:rFonts w:asciiTheme="minorEastAsia" w:hAnsiTheme="minorEastAsia"/>
          <w:sz w:val="28"/>
          <w:szCs w:val="28"/>
        </w:rPr>
      </w:pPr>
      <w:r>
        <w:rPr>
          <w:rFonts w:asciiTheme="minorEastAsia" w:hAnsiTheme="minorEastAsia"/>
          <w:b/>
          <w:bCs/>
          <w:color w:val="000000"/>
          <w:kern w:val="0"/>
          <w:sz w:val="28"/>
          <w:szCs w:val="28"/>
        </w:rPr>
        <w:t>四、评估方式</w:t>
      </w:r>
    </w:p>
    <w:p>
      <w:pPr>
        <w:spacing w:afterLines="50" w:line="360" w:lineRule="auto"/>
        <w:ind w:firstLine="560"/>
        <w:rPr>
          <w:rFonts w:asciiTheme="minorEastAsia" w:hAnsiTheme="minorEastAsia"/>
          <w:color w:val="000000"/>
          <w:kern w:val="0"/>
          <w:sz w:val="28"/>
          <w:szCs w:val="28"/>
        </w:rPr>
      </w:pPr>
      <w:r>
        <w:rPr>
          <w:rFonts w:asciiTheme="minorEastAsia" w:hAnsiTheme="minorEastAsia"/>
          <w:color w:val="000000"/>
          <w:kern w:val="0"/>
          <w:sz w:val="28"/>
          <w:szCs w:val="28"/>
        </w:rPr>
        <w:t xml:space="preserve"> “教指委”研究制订专项评估工作方案，报送国务院学位委员会办公室，由学位办转发各参评单位。</w:t>
      </w:r>
    </w:p>
    <w:p>
      <w:pPr>
        <w:spacing w:afterLines="50" w:line="360" w:lineRule="auto"/>
        <w:ind w:firstLine="562" w:firstLineChars="200"/>
        <w:rPr>
          <w:rFonts w:asciiTheme="minorEastAsia" w:hAnsiTheme="minorEastAsia"/>
          <w:b/>
          <w:sz w:val="28"/>
          <w:szCs w:val="28"/>
        </w:rPr>
      </w:pPr>
      <w:r>
        <w:rPr>
          <w:rFonts w:asciiTheme="minorEastAsia" w:hAnsiTheme="minorEastAsia"/>
          <w:b/>
          <w:sz w:val="28"/>
          <w:szCs w:val="28"/>
        </w:rPr>
        <w:t>五、评估程序</w:t>
      </w:r>
      <w:r>
        <w:rPr>
          <w:rFonts w:hint="eastAsia" w:asciiTheme="minorEastAsia" w:hAnsiTheme="minorEastAsia"/>
          <w:b/>
          <w:sz w:val="28"/>
          <w:szCs w:val="28"/>
        </w:rPr>
        <w:t>与安排</w:t>
      </w:r>
    </w:p>
    <w:p>
      <w:pPr>
        <w:spacing w:afterLines="50" w:line="360" w:lineRule="auto"/>
        <w:ind w:firstLine="560"/>
        <w:rPr>
          <w:rFonts w:asciiTheme="minorEastAsia" w:hAnsiTheme="minorEastAsia"/>
          <w:sz w:val="28"/>
          <w:szCs w:val="28"/>
        </w:rPr>
      </w:pPr>
      <w:r>
        <w:rPr>
          <w:rFonts w:hint="eastAsia" w:asciiTheme="minorEastAsia" w:hAnsiTheme="minorEastAsia"/>
          <w:sz w:val="28"/>
          <w:szCs w:val="28"/>
        </w:rPr>
        <w:t>（一）</w:t>
      </w:r>
      <w:r>
        <w:rPr>
          <w:rFonts w:asciiTheme="minorEastAsia" w:hAnsiTheme="minorEastAsia"/>
          <w:sz w:val="28"/>
          <w:szCs w:val="28"/>
        </w:rPr>
        <w:t>学位授予单位按照本通知要求，做好评估准备，撰写评估材料。</w:t>
      </w:r>
      <w:r>
        <w:rPr>
          <w:rFonts w:asciiTheme="minorEastAsia" w:hAnsiTheme="minorEastAsia"/>
          <w:color w:val="000000"/>
          <w:kern w:val="0"/>
          <w:sz w:val="28"/>
          <w:szCs w:val="28"/>
        </w:rPr>
        <w:t>并于2015年</w:t>
      </w:r>
      <w:r>
        <w:rPr>
          <w:rFonts w:hint="eastAsia" w:asciiTheme="minorEastAsia" w:hAnsiTheme="minorEastAsia"/>
          <w:color w:val="000000"/>
          <w:kern w:val="0"/>
          <w:sz w:val="28"/>
          <w:szCs w:val="28"/>
        </w:rPr>
        <w:t>5</w:t>
      </w:r>
      <w:r>
        <w:rPr>
          <w:rFonts w:asciiTheme="minorEastAsia" w:hAnsiTheme="minorEastAsia"/>
          <w:color w:val="000000"/>
          <w:kern w:val="0"/>
          <w:sz w:val="28"/>
          <w:szCs w:val="28"/>
        </w:rPr>
        <w:t>月</w:t>
      </w:r>
      <w:r>
        <w:rPr>
          <w:rFonts w:hint="eastAsia" w:asciiTheme="minorEastAsia" w:hAnsiTheme="minorEastAsia"/>
          <w:color w:val="000000"/>
          <w:kern w:val="0"/>
          <w:sz w:val="28"/>
          <w:szCs w:val="28"/>
        </w:rPr>
        <w:t>15</w:t>
      </w:r>
      <w:r>
        <w:rPr>
          <w:rFonts w:asciiTheme="minorEastAsia" w:hAnsiTheme="minorEastAsia"/>
          <w:color w:val="000000"/>
          <w:kern w:val="0"/>
          <w:sz w:val="28"/>
          <w:szCs w:val="28"/>
        </w:rPr>
        <w:t>日之前将《</w:t>
      </w:r>
      <w:r>
        <w:rPr>
          <w:rFonts w:hint="eastAsia" w:asciiTheme="minorEastAsia" w:hAnsiTheme="minorEastAsia"/>
          <w:color w:val="000000"/>
          <w:kern w:val="0"/>
          <w:sz w:val="28"/>
          <w:szCs w:val="28"/>
        </w:rPr>
        <w:t>应用统计</w:t>
      </w:r>
      <w:r>
        <w:rPr>
          <w:rFonts w:asciiTheme="minorEastAsia" w:hAnsiTheme="minorEastAsia"/>
          <w:color w:val="000000"/>
          <w:kern w:val="0"/>
          <w:sz w:val="28"/>
          <w:szCs w:val="28"/>
        </w:rPr>
        <w:t>专业学位授权点自我评估总结报告》（见附件3）上传至“全国学位与研究生教育质量信息平台”</w:t>
      </w:r>
      <w:r>
        <w:rPr>
          <w:rFonts w:asciiTheme="minorEastAsia" w:hAnsiTheme="minorEastAsia"/>
          <w:kern w:val="0"/>
          <w:sz w:val="28"/>
          <w:szCs w:val="28"/>
        </w:rPr>
        <w:t xml:space="preserve"> （http://zlxxpt.chinadegrees.cn）</w:t>
      </w:r>
      <w:r>
        <w:rPr>
          <w:rFonts w:asciiTheme="minorEastAsia" w:hAnsiTheme="minorEastAsia"/>
          <w:color w:val="000000"/>
          <w:kern w:val="0"/>
          <w:sz w:val="28"/>
          <w:szCs w:val="28"/>
        </w:rPr>
        <w:t>向社会公开。</w:t>
      </w:r>
    </w:p>
    <w:p>
      <w:pPr>
        <w:spacing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（二）2015年6-7月，</w:t>
      </w:r>
      <w:r>
        <w:rPr>
          <w:rFonts w:asciiTheme="minorEastAsia" w:hAnsiTheme="minorEastAsia"/>
          <w:sz w:val="28"/>
          <w:szCs w:val="28"/>
        </w:rPr>
        <w:t>教指委组织专家通讯</w:t>
      </w:r>
      <w:r>
        <w:rPr>
          <w:rFonts w:hint="eastAsia" w:asciiTheme="minorEastAsia" w:hAnsiTheme="minorEastAsia"/>
          <w:sz w:val="28"/>
          <w:szCs w:val="28"/>
        </w:rPr>
        <w:t>（或会议）</w:t>
      </w:r>
      <w:r>
        <w:rPr>
          <w:rFonts w:asciiTheme="minorEastAsia" w:hAnsiTheme="minorEastAsia"/>
          <w:sz w:val="28"/>
          <w:szCs w:val="28"/>
        </w:rPr>
        <w:t>评阅学位授予单位提交的有关材料，依据评估指标对授权单位办学情况提出评价意见。</w:t>
      </w:r>
    </w:p>
    <w:p>
      <w:pPr>
        <w:spacing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（三）2015年8-9月，</w:t>
      </w:r>
      <w:r>
        <w:rPr>
          <w:rFonts w:asciiTheme="minorEastAsia" w:hAnsiTheme="minorEastAsia"/>
          <w:sz w:val="28"/>
          <w:szCs w:val="28"/>
        </w:rPr>
        <w:t>根据通讯</w:t>
      </w:r>
      <w:r>
        <w:rPr>
          <w:rFonts w:hint="eastAsia" w:asciiTheme="minorEastAsia" w:hAnsiTheme="minorEastAsia"/>
          <w:sz w:val="28"/>
          <w:szCs w:val="28"/>
        </w:rPr>
        <w:t>（或会议）</w:t>
      </w:r>
      <w:r>
        <w:rPr>
          <w:rFonts w:asciiTheme="minorEastAsia" w:hAnsiTheme="minorEastAsia"/>
          <w:sz w:val="28"/>
          <w:szCs w:val="28"/>
        </w:rPr>
        <w:t>评价结果，</w:t>
      </w:r>
      <w:r>
        <w:rPr>
          <w:rFonts w:hint="eastAsia" w:asciiTheme="minorEastAsia" w:hAnsiTheme="minorEastAsia"/>
          <w:sz w:val="28"/>
          <w:szCs w:val="28"/>
        </w:rPr>
        <w:t>商</w:t>
      </w:r>
      <w:r>
        <w:rPr>
          <w:rFonts w:asciiTheme="minorEastAsia" w:hAnsiTheme="minorEastAsia"/>
          <w:sz w:val="28"/>
          <w:szCs w:val="28"/>
        </w:rPr>
        <w:t>学位办后确定有必要进行实地考察的授权点，教指委组织委员进行实地考察。</w:t>
      </w:r>
    </w:p>
    <w:p>
      <w:pPr>
        <w:spacing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（四）</w:t>
      </w:r>
      <w:r>
        <w:rPr>
          <w:rFonts w:asciiTheme="minorEastAsia" w:hAnsiTheme="minorEastAsia"/>
          <w:sz w:val="28"/>
          <w:szCs w:val="28"/>
        </w:rPr>
        <w:t>召开教指委会议，在听取通讯</w:t>
      </w:r>
      <w:r>
        <w:rPr>
          <w:rFonts w:hint="eastAsia" w:asciiTheme="minorEastAsia" w:hAnsiTheme="minorEastAsia"/>
          <w:sz w:val="28"/>
          <w:szCs w:val="28"/>
        </w:rPr>
        <w:t>（或会议）</w:t>
      </w:r>
      <w:r>
        <w:rPr>
          <w:rFonts w:asciiTheme="minorEastAsia" w:hAnsiTheme="minorEastAsia"/>
          <w:sz w:val="28"/>
          <w:szCs w:val="28"/>
        </w:rPr>
        <w:t>评审及实地考察意见的基础上，由各位委员对学位授权点独立提出评议意见，评议意见分为“合格”和“不合格”。</w:t>
      </w:r>
    </w:p>
    <w:p>
      <w:pPr>
        <w:spacing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（五）</w:t>
      </w:r>
      <w:r>
        <w:rPr>
          <w:rFonts w:asciiTheme="minorEastAsia" w:hAnsiTheme="minorEastAsia"/>
          <w:sz w:val="28"/>
          <w:szCs w:val="28"/>
        </w:rPr>
        <w:t>教指委根据《学位授权点合格评估办法》和专家表决结果，对学位授权点提出处理意见，并于2015年11月</w:t>
      </w:r>
      <w:r>
        <w:rPr>
          <w:rFonts w:hint="eastAsia" w:asciiTheme="minorEastAsia" w:hAnsiTheme="minorEastAsia"/>
          <w:sz w:val="28"/>
          <w:szCs w:val="28"/>
        </w:rPr>
        <w:t>20</w:t>
      </w:r>
      <w:r>
        <w:rPr>
          <w:rFonts w:asciiTheme="minorEastAsia" w:hAnsiTheme="minorEastAsia"/>
          <w:sz w:val="28"/>
          <w:szCs w:val="28"/>
        </w:rPr>
        <w:t>日前报国务院学位委员会办公室。</w:t>
      </w:r>
    </w:p>
    <w:p>
      <w:pPr>
        <w:spacing w:afterLines="50" w:line="360" w:lineRule="auto"/>
        <w:ind w:firstLine="560"/>
        <w:rPr>
          <w:rFonts w:asciiTheme="minorEastAsia" w:hAnsiTheme="minorEastAsia"/>
          <w:b/>
          <w:color w:val="000000"/>
          <w:kern w:val="0"/>
          <w:sz w:val="28"/>
          <w:szCs w:val="28"/>
        </w:rPr>
      </w:pPr>
      <w:r>
        <w:rPr>
          <w:rFonts w:hint="eastAsia" w:asciiTheme="minorEastAsia" w:hAnsiTheme="minorEastAsia"/>
          <w:b/>
          <w:color w:val="000000"/>
          <w:kern w:val="0"/>
          <w:sz w:val="28"/>
          <w:szCs w:val="28"/>
        </w:rPr>
        <w:t>六</w:t>
      </w:r>
      <w:r>
        <w:rPr>
          <w:rFonts w:asciiTheme="minorEastAsia" w:hAnsiTheme="minorEastAsia"/>
          <w:b/>
          <w:color w:val="000000"/>
          <w:kern w:val="0"/>
          <w:sz w:val="28"/>
          <w:szCs w:val="28"/>
        </w:rPr>
        <w:t>、结果处理</w:t>
      </w:r>
    </w:p>
    <w:p>
      <w:pPr>
        <w:spacing w:afterLines="50" w:line="360" w:lineRule="auto"/>
        <w:ind w:firstLine="560"/>
        <w:rPr>
          <w:rFonts w:asciiTheme="minorEastAsia" w:hAnsiTheme="minorEastAsia"/>
          <w:color w:val="000000"/>
          <w:kern w:val="0"/>
          <w:sz w:val="28"/>
          <w:szCs w:val="28"/>
        </w:rPr>
      </w:pPr>
      <w:r>
        <w:rPr>
          <w:rFonts w:asciiTheme="minorEastAsia" w:hAnsiTheme="minorEastAsia"/>
          <w:sz w:val="28"/>
          <w:szCs w:val="28"/>
        </w:rPr>
        <w:t>“教指委”评议结束后，全部评估材料于2015年11月20日之前报送国务院学位办，由国务院学位</w:t>
      </w:r>
      <w:r>
        <w:rPr>
          <w:rFonts w:hint="eastAsia" w:asciiTheme="minorEastAsia" w:hAnsiTheme="minorEastAsia"/>
          <w:sz w:val="28"/>
          <w:szCs w:val="28"/>
        </w:rPr>
        <w:t>委员会根据评估结果</w:t>
      </w:r>
      <w:r>
        <w:rPr>
          <w:rFonts w:asciiTheme="minorEastAsia" w:hAnsiTheme="minorEastAsia"/>
          <w:sz w:val="28"/>
          <w:szCs w:val="28"/>
        </w:rPr>
        <w:t>做出继续授权、限期整改、撤销学位授权的处理决定。处理决定向社会公开。</w:t>
      </w:r>
    </w:p>
    <w:p>
      <w:pPr>
        <w:spacing w:afterLines="50" w:line="360" w:lineRule="auto"/>
        <w:ind w:firstLine="560"/>
        <w:rPr>
          <w:rFonts w:asciiTheme="minorEastAsia" w:hAnsiTheme="minorEastAsia"/>
          <w:color w:val="000000"/>
          <w:kern w:val="0"/>
          <w:sz w:val="28"/>
          <w:szCs w:val="28"/>
        </w:rPr>
      </w:pPr>
      <w:r>
        <w:rPr>
          <w:rFonts w:asciiTheme="minorEastAsia" w:hAnsiTheme="minorEastAsia"/>
          <w:sz w:val="28"/>
          <w:szCs w:val="28"/>
        </w:rPr>
        <w:t>本次评估是应用统计硕士专业学位授权点的首次评估，对保证学位授权点和应用统计硕士专业学位研究生教育质量具有重要作用。各参评单位要高度重视这项工作，认真组织开展自我评估，严格遵守评估纪律，坚决排除非专业因素的干扰，确保评估工作取得实效。对于</w:t>
      </w:r>
      <w:r>
        <w:rPr>
          <w:rFonts w:asciiTheme="minorEastAsia" w:hAnsiTheme="minorEastAsia"/>
          <w:color w:val="000000"/>
          <w:kern w:val="0"/>
          <w:sz w:val="28"/>
          <w:szCs w:val="28"/>
        </w:rPr>
        <w:t>未按照指定时间上传评估材料的视为自动放弃专项合格评估，按不合格认定。对评估过程中存在弄虚作假和违反评估纪律的单位或个人，“教指委”将会同国务院学位办按照有关规定严肃处理。</w:t>
      </w:r>
    </w:p>
    <w:p>
      <w:pPr>
        <w:spacing w:afterLines="50" w:line="360" w:lineRule="auto"/>
        <w:ind w:firstLine="560"/>
        <w:rPr>
          <w:rFonts w:asciiTheme="minorEastAsia" w:hAnsiTheme="minorEastAsia"/>
          <w:color w:val="000000"/>
          <w:kern w:val="0"/>
          <w:sz w:val="28"/>
          <w:szCs w:val="28"/>
        </w:rPr>
      </w:pPr>
      <w:r>
        <w:rPr>
          <w:rFonts w:asciiTheme="minorEastAsia" w:hAnsiTheme="minorEastAsia"/>
          <w:color w:val="000000"/>
          <w:kern w:val="0"/>
          <w:sz w:val="28"/>
          <w:szCs w:val="28"/>
        </w:rPr>
        <w:t>参评单位在评估过程中有请示事项或咨询问题的，可与“教指委”秘书处联系。</w:t>
      </w:r>
    </w:p>
    <w:p>
      <w:pPr>
        <w:spacing w:afterLines="50" w:line="360" w:lineRule="auto"/>
        <w:ind w:firstLine="560"/>
        <w:rPr>
          <w:rFonts w:asciiTheme="minorEastAsia" w:hAnsiTheme="minorEastAsia"/>
          <w:color w:val="000000"/>
          <w:kern w:val="0"/>
          <w:sz w:val="28"/>
          <w:szCs w:val="28"/>
        </w:rPr>
      </w:pPr>
      <w:r>
        <w:rPr>
          <w:rFonts w:asciiTheme="minorEastAsia" w:hAnsiTheme="minorEastAsia"/>
          <w:color w:val="000000"/>
          <w:kern w:val="0"/>
          <w:sz w:val="28"/>
          <w:szCs w:val="28"/>
        </w:rPr>
        <w:t>联系人：</w:t>
      </w:r>
      <w:r>
        <w:rPr>
          <w:rFonts w:hint="eastAsia" w:asciiTheme="minorEastAsia" w:hAnsiTheme="minorEastAsia"/>
          <w:color w:val="000000"/>
          <w:kern w:val="0"/>
          <w:sz w:val="28"/>
          <w:szCs w:val="28"/>
        </w:rPr>
        <w:t>陈虹</w:t>
      </w:r>
      <w:r>
        <w:rPr>
          <w:rFonts w:asciiTheme="minorEastAsia" w:hAnsiTheme="minorEastAsia"/>
          <w:color w:val="000000"/>
          <w:kern w:val="0"/>
          <w:sz w:val="28"/>
          <w:szCs w:val="28"/>
        </w:rPr>
        <w:t>，联系电话：010-</w:t>
      </w:r>
      <w:r>
        <w:rPr>
          <w:rFonts w:hint="eastAsia" w:asciiTheme="minorEastAsia" w:hAnsiTheme="minorEastAsia"/>
          <w:color w:val="000000"/>
          <w:kern w:val="0"/>
          <w:sz w:val="28"/>
          <w:szCs w:val="28"/>
        </w:rPr>
        <w:t>82509324</w:t>
      </w:r>
      <w:r>
        <w:rPr>
          <w:rFonts w:asciiTheme="minorEastAsia" w:hAnsiTheme="minorEastAsia"/>
          <w:color w:val="000000"/>
          <w:kern w:val="0"/>
          <w:sz w:val="28"/>
          <w:szCs w:val="28"/>
        </w:rPr>
        <w:t>，邮箱：</w:t>
      </w:r>
      <w:r>
        <w:rPr>
          <w:rFonts w:hint="eastAsia" w:asciiTheme="minorEastAsia" w:hAnsiTheme="minorEastAsia"/>
          <w:color w:val="000000"/>
          <w:kern w:val="0"/>
          <w:sz w:val="28"/>
          <w:szCs w:val="28"/>
        </w:rPr>
        <w:t>hongchen@ruc.edu.cn</w:t>
      </w:r>
      <w:r>
        <w:rPr>
          <w:rFonts w:asciiTheme="minorEastAsia" w:hAnsiTheme="minorEastAsia"/>
          <w:color w:val="000000"/>
          <w:kern w:val="0"/>
          <w:sz w:val="28"/>
          <w:szCs w:val="28"/>
        </w:rPr>
        <w:t>。</w:t>
      </w:r>
    </w:p>
    <w:p>
      <w:pPr>
        <w:spacing w:afterLines="50" w:line="360" w:lineRule="auto"/>
        <w:ind w:firstLine="560" w:firstLineChars="200"/>
        <w:rPr>
          <w:rFonts w:asciiTheme="minorEastAsia" w:hAnsiTheme="minorEastAsia"/>
          <w:bCs/>
          <w:sz w:val="28"/>
          <w:szCs w:val="28"/>
        </w:rPr>
      </w:pPr>
    </w:p>
    <w:p>
      <w:pPr>
        <w:spacing w:afterLines="50" w:line="360" w:lineRule="auto"/>
        <w:ind w:firstLine="560" w:firstLineChars="200"/>
        <w:rPr>
          <w:rFonts w:asciiTheme="minorEastAsia" w:hAnsiTheme="minorEastAsia"/>
          <w:bCs/>
          <w:sz w:val="28"/>
          <w:szCs w:val="28"/>
        </w:rPr>
      </w:pPr>
      <w:r>
        <w:rPr>
          <w:rFonts w:asciiTheme="minorEastAsia" w:hAnsiTheme="minorEastAsia"/>
          <w:bCs/>
          <w:sz w:val="28"/>
          <w:szCs w:val="28"/>
        </w:rPr>
        <w:t>附件：1</w:t>
      </w:r>
      <w:r>
        <w:rPr>
          <w:rFonts w:hint="eastAsia" w:asciiTheme="minorEastAsia" w:hAnsiTheme="minorEastAsia"/>
          <w:bCs/>
          <w:sz w:val="28"/>
          <w:szCs w:val="28"/>
        </w:rPr>
        <w:t>.</w:t>
      </w:r>
      <w:r>
        <w:rPr>
          <w:rFonts w:asciiTheme="minorEastAsia" w:hAnsiTheme="minorEastAsia"/>
          <w:bCs/>
          <w:sz w:val="28"/>
          <w:szCs w:val="28"/>
        </w:rPr>
        <w:t>参加专项评估单位名单</w:t>
      </w:r>
    </w:p>
    <w:p>
      <w:pPr>
        <w:spacing w:afterLines="50" w:line="360" w:lineRule="auto"/>
        <w:ind w:firstLine="1400" w:firstLineChars="500"/>
        <w:rPr>
          <w:rFonts w:asciiTheme="minorEastAsia" w:hAnsiTheme="minorEastAsia"/>
          <w:bCs/>
          <w:sz w:val="28"/>
          <w:szCs w:val="28"/>
        </w:rPr>
      </w:pPr>
      <w:r>
        <w:rPr>
          <w:rFonts w:asciiTheme="minorEastAsia" w:hAnsiTheme="minorEastAsia"/>
          <w:bCs/>
          <w:sz w:val="28"/>
          <w:szCs w:val="28"/>
        </w:rPr>
        <w:t>2</w:t>
      </w:r>
      <w:r>
        <w:rPr>
          <w:rFonts w:hint="eastAsia" w:asciiTheme="minorEastAsia" w:hAnsiTheme="minorEastAsia"/>
          <w:bCs/>
          <w:sz w:val="28"/>
          <w:szCs w:val="28"/>
        </w:rPr>
        <w:t>.</w:t>
      </w:r>
      <w:r>
        <w:rPr>
          <w:rFonts w:asciiTheme="minorEastAsia" w:hAnsiTheme="minorEastAsia"/>
          <w:bCs/>
          <w:sz w:val="28"/>
          <w:szCs w:val="28"/>
        </w:rPr>
        <w:t>应用统计硕士专业学位授权点专项评估指标体系</w:t>
      </w:r>
    </w:p>
    <w:p>
      <w:pPr>
        <w:spacing w:afterLines="50" w:line="360" w:lineRule="auto"/>
        <w:ind w:firstLine="1400" w:firstLineChars="500"/>
        <w:rPr>
          <w:rFonts w:asciiTheme="minorEastAsia" w:hAnsiTheme="minorEastAsia"/>
          <w:bCs/>
          <w:sz w:val="28"/>
          <w:szCs w:val="28"/>
        </w:rPr>
      </w:pPr>
      <w:r>
        <w:rPr>
          <w:rFonts w:asciiTheme="minorEastAsia" w:hAnsiTheme="minorEastAsia"/>
          <w:bCs/>
          <w:sz w:val="28"/>
          <w:szCs w:val="28"/>
        </w:rPr>
        <w:t>3</w:t>
      </w:r>
      <w:r>
        <w:rPr>
          <w:rFonts w:hint="eastAsia" w:asciiTheme="minorEastAsia" w:hAnsiTheme="minorEastAsia"/>
          <w:bCs/>
          <w:sz w:val="28"/>
          <w:szCs w:val="28"/>
        </w:rPr>
        <w:t>.</w:t>
      </w:r>
      <w:r>
        <w:rPr>
          <w:rFonts w:asciiTheme="minorEastAsia" w:hAnsiTheme="minorEastAsia"/>
          <w:bCs/>
          <w:sz w:val="28"/>
          <w:szCs w:val="28"/>
        </w:rPr>
        <w:t>应用统计硕士专业学位授权点自我评估总结报告</w:t>
      </w:r>
    </w:p>
    <w:p>
      <w:pPr>
        <w:spacing w:line="460" w:lineRule="exact"/>
        <w:ind w:firstLine="1500" w:firstLineChars="500"/>
        <w:rPr>
          <w:rFonts w:asciiTheme="minorEastAsia" w:hAnsiTheme="minorEastAsia"/>
          <w:bCs/>
          <w:sz w:val="30"/>
          <w:szCs w:val="30"/>
        </w:rPr>
      </w:pPr>
    </w:p>
    <w:p>
      <w:pPr>
        <w:spacing w:line="480" w:lineRule="exact"/>
        <w:jc w:val="left"/>
        <w:rPr>
          <w:rFonts w:asciiTheme="minorEastAsia" w:hAnsiTheme="minorEastAsia"/>
          <w:b/>
          <w:bCs/>
          <w:sz w:val="30"/>
          <w:szCs w:val="30"/>
        </w:rPr>
      </w:pPr>
    </w:p>
    <w:p>
      <w:pPr>
        <w:spacing w:line="480" w:lineRule="exact"/>
        <w:jc w:val="left"/>
        <w:rPr>
          <w:rFonts w:asciiTheme="minorEastAsia" w:hAnsiTheme="minorEastAsia"/>
          <w:b/>
          <w:bCs/>
          <w:sz w:val="30"/>
          <w:szCs w:val="30"/>
        </w:rPr>
      </w:pPr>
    </w:p>
    <w:p>
      <w:pPr>
        <w:spacing w:line="480" w:lineRule="exact"/>
        <w:jc w:val="left"/>
        <w:rPr>
          <w:rFonts w:asciiTheme="minorEastAsia" w:hAnsiTheme="minorEastAsia"/>
          <w:b/>
          <w:bCs/>
          <w:sz w:val="30"/>
          <w:szCs w:val="30"/>
        </w:rPr>
      </w:pPr>
    </w:p>
    <w:p>
      <w:pPr>
        <w:spacing w:line="480" w:lineRule="exact"/>
        <w:jc w:val="left"/>
        <w:rPr>
          <w:rFonts w:asciiTheme="minorEastAsia" w:hAnsiTheme="minorEastAsia"/>
          <w:b/>
          <w:bCs/>
          <w:sz w:val="30"/>
          <w:szCs w:val="30"/>
        </w:rPr>
      </w:pPr>
    </w:p>
    <w:p>
      <w:pPr>
        <w:spacing w:line="480" w:lineRule="exact"/>
        <w:jc w:val="left"/>
        <w:rPr>
          <w:rFonts w:asciiTheme="minorEastAsia" w:hAnsiTheme="minorEastAsia"/>
          <w:b/>
          <w:bCs/>
          <w:sz w:val="30"/>
          <w:szCs w:val="30"/>
        </w:rPr>
      </w:pPr>
    </w:p>
    <w:p>
      <w:pPr>
        <w:spacing w:line="480" w:lineRule="exact"/>
        <w:jc w:val="left"/>
        <w:rPr>
          <w:rFonts w:asciiTheme="minorEastAsia" w:hAnsiTheme="minorEastAsia"/>
          <w:b/>
          <w:bCs/>
          <w:sz w:val="30"/>
          <w:szCs w:val="30"/>
        </w:rPr>
      </w:pPr>
    </w:p>
    <w:p>
      <w:pPr>
        <w:spacing w:line="480" w:lineRule="exact"/>
        <w:jc w:val="left"/>
        <w:rPr>
          <w:rFonts w:asciiTheme="minorEastAsia" w:hAnsiTheme="minorEastAsia"/>
          <w:b/>
          <w:bCs/>
          <w:sz w:val="30"/>
          <w:szCs w:val="30"/>
        </w:rPr>
      </w:pPr>
    </w:p>
    <w:p>
      <w:pPr>
        <w:spacing w:line="480" w:lineRule="exact"/>
        <w:jc w:val="left"/>
        <w:rPr>
          <w:rFonts w:asciiTheme="minorEastAsia" w:hAnsiTheme="minorEastAsia"/>
          <w:b/>
          <w:bCs/>
          <w:sz w:val="30"/>
          <w:szCs w:val="30"/>
        </w:rPr>
      </w:pPr>
    </w:p>
    <w:p>
      <w:pPr>
        <w:spacing w:line="480" w:lineRule="exact"/>
        <w:jc w:val="left"/>
        <w:rPr>
          <w:rFonts w:asciiTheme="minorEastAsia" w:hAnsiTheme="minorEastAsia"/>
          <w:b/>
          <w:bCs/>
          <w:sz w:val="30"/>
          <w:szCs w:val="30"/>
        </w:rPr>
      </w:pPr>
    </w:p>
    <w:p>
      <w:pPr>
        <w:spacing w:line="480" w:lineRule="exact"/>
        <w:jc w:val="left"/>
        <w:rPr>
          <w:rFonts w:asciiTheme="minorEastAsia" w:hAnsiTheme="minorEastAsia"/>
          <w:b/>
          <w:bCs/>
          <w:sz w:val="30"/>
          <w:szCs w:val="30"/>
        </w:rPr>
      </w:pPr>
    </w:p>
    <w:p>
      <w:pPr>
        <w:spacing w:line="480" w:lineRule="exact"/>
        <w:jc w:val="left"/>
        <w:rPr>
          <w:rFonts w:asciiTheme="minorEastAsia" w:hAnsiTheme="minorEastAsia"/>
          <w:b/>
          <w:bCs/>
          <w:sz w:val="30"/>
          <w:szCs w:val="30"/>
        </w:rPr>
      </w:pPr>
    </w:p>
    <w:p>
      <w:pPr>
        <w:spacing w:line="480" w:lineRule="exact"/>
        <w:jc w:val="left"/>
        <w:rPr>
          <w:rFonts w:asciiTheme="minorEastAsia" w:hAnsiTheme="minorEastAsia"/>
          <w:b/>
          <w:bCs/>
          <w:sz w:val="30"/>
          <w:szCs w:val="30"/>
        </w:rPr>
      </w:pPr>
    </w:p>
    <w:p>
      <w:pPr>
        <w:spacing w:line="480" w:lineRule="exact"/>
        <w:jc w:val="left"/>
        <w:rPr>
          <w:rFonts w:asciiTheme="minorEastAsia" w:hAnsiTheme="minorEastAsia"/>
          <w:b/>
          <w:bCs/>
          <w:sz w:val="30"/>
          <w:szCs w:val="30"/>
        </w:rPr>
      </w:pPr>
      <w:r>
        <w:rPr>
          <w:rFonts w:hint="eastAsia" w:asciiTheme="minorEastAsia" w:hAnsiTheme="minorEastAsia"/>
          <w:b/>
          <w:bCs/>
          <w:sz w:val="30"/>
          <w:szCs w:val="30"/>
        </w:rPr>
        <w:t xml:space="preserve">附件1:  </w:t>
      </w:r>
    </w:p>
    <w:p>
      <w:pPr>
        <w:spacing w:line="480" w:lineRule="exact"/>
        <w:jc w:val="center"/>
        <w:rPr>
          <w:rFonts w:asciiTheme="minorEastAsia" w:hAnsiTheme="minorEastAsia"/>
          <w:b/>
          <w:bCs/>
          <w:sz w:val="30"/>
          <w:szCs w:val="30"/>
        </w:rPr>
      </w:pPr>
      <w:r>
        <w:rPr>
          <w:rFonts w:asciiTheme="minorEastAsia" w:hAnsiTheme="minorEastAsia"/>
          <w:b/>
          <w:bCs/>
          <w:sz w:val="30"/>
          <w:szCs w:val="30"/>
        </w:rPr>
        <w:t>参加专项评估单位名单</w:t>
      </w:r>
    </w:p>
    <w:p>
      <w:pPr>
        <w:widowControl/>
        <w:jc w:val="left"/>
        <w:rPr>
          <w:rFonts w:cs="宋体" w:asciiTheme="minorEastAsia" w:hAnsiTheme="minorEastAsia"/>
          <w:kern w:val="0"/>
          <w:sz w:val="24"/>
        </w:rPr>
      </w:pPr>
    </w:p>
    <w:tbl>
      <w:tblPr>
        <w:tblStyle w:val="5"/>
        <w:tblW w:w="8529" w:type="dxa"/>
        <w:tblInd w:w="0" w:type="dxa"/>
        <w:tblLayout w:type="fixed"/>
        <w:tblCellMar>
          <w:top w:w="0" w:type="dxa"/>
          <w:left w:w="108" w:type="dxa"/>
          <w:bottom w:w="0" w:type="dxa"/>
          <w:right w:w="108" w:type="dxa"/>
        </w:tblCellMar>
      </w:tblPr>
      <w:tblGrid>
        <w:gridCol w:w="2843"/>
        <w:gridCol w:w="2843"/>
        <w:gridCol w:w="2843"/>
      </w:tblGrid>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北京大学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吉林大学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河南财经政法大学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中国人民大学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东北师范大学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武汉大学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清华大学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吉林财经大学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华中科技大学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北京交通大学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上海交通大学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华中师范大学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北京工业大学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华东师范大学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湖北大学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北京理工大学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上海师范大学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中南财经政法大学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北京工商大学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上海财经大学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湖南大学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北京林业大学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南京大学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中南大学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北京师范大学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苏州大学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长沙理工大学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首都师范大学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东南大学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湖南师范大学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中央财经大学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江苏大学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中山大学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首都经济贸易大学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南京财经大学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暨南大学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中国科学院大学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浙江工商大学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广西师范大学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南开大学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安徽大学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重庆大学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天津大学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中国科学技术大学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西南大学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天津财经大学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安徽师范大学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四川大学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河北大学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安徽财经大学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西南财经大学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燕山大学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厦门大学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贵州财经学院</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河北经贸大学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福州大学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云南大学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山西大学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福建师范大学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云南财经大学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山西财经大学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华东交通大学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西安交通大学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辽宁大学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江西财经大学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兰州大学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大连理工大学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山东大学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兰州商学院</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东北大学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曲阜师范大学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新疆财经大学</w:t>
            </w:r>
          </w:p>
        </w:tc>
      </w:tr>
      <w:tr>
        <w:tblPrEx>
          <w:tblLayout w:type="fixed"/>
          <w:tblCellMar>
            <w:top w:w="0" w:type="dxa"/>
            <w:left w:w="108" w:type="dxa"/>
            <w:bottom w:w="0" w:type="dxa"/>
            <w:right w:w="108" w:type="dxa"/>
          </w:tblCellMar>
        </w:tblPrEx>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东北财经大学</w:t>
            </w:r>
          </w:p>
        </w:tc>
        <w:tc>
          <w:tcPr>
            <w:tcW w:w="2843" w:type="dxa"/>
            <w:vAlign w:val="center"/>
          </w:tcPr>
          <w:p>
            <w:pPr>
              <w:widowControl/>
              <w:spacing w:line="480" w:lineRule="exact"/>
              <w:jc w:val="center"/>
              <w:rPr>
                <w:rFonts w:cs="宋体" w:asciiTheme="minorEastAsia" w:hAnsiTheme="minorEastAsia"/>
                <w:kern w:val="0"/>
                <w:sz w:val="24"/>
              </w:rPr>
            </w:pPr>
            <w:r>
              <w:rPr>
                <w:rFonts w:hint="eastAsia" w:cs="宋体" w:asciiTheme="minorEastAsia" w:hAnsiTheme="minorEastAsia"/>
                <w:kern w:val="0"/>
                <w:sz w:val="24"/>
              </w:rPr>
              <w:t>山东财经大学</w:t>
            </w:r>
          </w:p>
        </w:tc>
        <w:tc>
          <w:tcPr>
            <w:tcW w:w="2843" w:type="dxa"/>
          </w:tcPr>
          <w:p>
            <w:pPr>
              <w:widowControl/>
              <w:jc w:val="left"/>
              <w:rPr>
                <w:rFonts w:cs="宋体" w:asciiTheme="minorEastAsia" w:hAnsiTheme="minorEastAsia"/>
                <w:kern w:val="0"/>
                <w:sz w:val="24"/>
              </w:rPr>
            </w:pPr>
          </w:p>
        </w:tc>
      </w:tr>
    </w:tbl>
    <w:p>
      <w:pPr>
        <w:widowControl/>
        <w:jc w:val="left"/>
        <w:rPr>
          <w:rFonts w:cs="宋体" w:asciiTheme="minorEastAsia" w:hAnsiTheme="minorEastAsia"/>
          <w:kern w:val="0"/>
          <w:sz w:val="24"/>
        </w:rPr>
        <w:sectPr>
          <w:footerReference r:id="rId3" w:type="default"/>
          <w:pgSz w:w="11907" w:h="16840"/>
          <w:pgMar w:top="1418" w:right="1797" w:bottom="1418" w:left="1797" w:header="851" w:footer="992" w:gutter="0"/>
          <w:cols w:space="425" w:num="1"/>
          <w:docGrid w:linePitch="312" w:charSpace="0"/>
        </w:sectPr>
      </w:pPr>
    </w:p>
    <w:p>
      <w:pPr>
        <w:spacing w:line="480" w:lineRule="exact"/>
        <w:jc w:val="left"/>
        <w:rPr>
          <w:rFonts w:asciiTheme="minorEastAsia" w:hAnsiTheme="minorEastAsia"/>
          <w:b/>
          <w:bCs/>
          <w:sz w:val="30"/>
          <w:szCs w:val="30"/>
        </w:rPr>
      </w:pPr>
      <w:r>
        <w:rPr>
          <w:rFonts w:hint="eastAsia" w:asciiTheme="minorEastAsia" w:hAnsiTheme="minorEastAsia"/>
          <w:b/>
          <w:bCs/>
          <w:sz w:val="30"/>
          <w:szCs w:val="30"/>
        </w:rPr>
        <w:t xml:space="preserve">附件2 :       </w:t>
      </w:r>
    </w:p>
    <w:p>
      <w:pPr>
        <w:spacing w:line="480" w:lineRule="exact"/>
        <w:jc w:val="center"/>
        <w:rPr>
          <w:rFonts w:asciiTheme="minorEastAsia" w:hAnsiTheme="minorEastAsia"/>
          <w:bCs/>
          <w:sz w:val="30"/>
          <w:szCs w:val="30"/>
        </w:rPr>
      </w:pPr>
      <w:r>
        <w:rPr>
          <w:rFonts w:hint="eastAsia" w:asciiTheme="minorEastAsia" w:hAnsiTheme="minorEastAsia"/>
          <w:bCs/>
          <w:sz w:val="30"/>
          <w:szCs w:val="30"/>
        </w:rPr>
        <w:t>应用统计</w:t>
      </w:r>
      <w:r>
        <w:rPr>
          <w:rFonts w:hint="eastAsia" w:asciiTheme="minorEastAsia" w:hAnsiTheme="minorEastAsia"/>
          <w:sz w:val="30"/>
          <w:szCs w:val="30"/>
        </w:rPr>
        <w:t>专业学位评估指标体系</w:t>
      </w:r>
      <w:r>
        <w:rPr>
          <w:rFonts w:hint="eastAsia" w:asciiTheme="minorEastAsia" w:hAnsiTheme="minorEastAsia"/>
          <w:bCs/>
          <w:sz w:val="28"/>
        </w:rPr>
        <w:t>（表中应用统计专业硕士简称为MAS）</w:t>
      </w:r>
    </w:p>
    <w:tbl>
      <w:tblPr>
        <w:tblStyle w:val="5"/>
        <w:tblW w:w="13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582"/>
        <w:gridCol w:w="567"/>
        <w:gridCol w:w="709"/>
        <w:gridCol w:w="462"/>
        <w:gridCol w:w="3365"/>
        <w:gridCol w:w="2127"/>
        <w:gridCol w:w="1984"/>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85" w:hRule="atLeast"/>
        </w:trPr>
        <w:tc>
          <w:tcPr>
            <w:tcW w:w="582" w:type="dxa"/>
            <w:vMerge w:val="restart"/>
            <w:vAlign w:val="center"/>
          </w:tcPr>
          <w:p>
            <w:pPr>
              <w:autoSpaceDN w:val="0"/>
              <w:jc w:val="center"/>
              <w:textAlignment w:val="center"/>
              <w:rPr>
                <w:rFonts w:asciiTheme="minorEastAsia" w:hAnsiTheme="minorEastAsia"/>
                <w:b/>
                <w:color w:val="000000"/>
              </w:rPr>
            </w:pPr>
            <w:r>
              <w:rPr>
                <w:rFonts w:asciiTheme="minorEastAsia" w:hAnsiTheme="minorEastAsia"/>
                <w:b/>
                <w:color w:val="000000"/>
              </w:rPr>
              <w:t>评价</w:t>
            </w:r>
          </w:p>
          <w:p>
            <w:pPr>
              <w:autoSpaceDN w:val="0"/>
              <w:jc w:val="center"/>
              <w:textAlignment w:val="center"/>
              <w:rPr>
                <w:rFonts w:asciiTheme="minorEastAsia" w:hAnsiTheme="minorEastAsia"/>
                <w:b/>
                <w:color w:val="000000"/>
              </w:rPr>
            </w:pPr>
            <w:r>
              <w:rPr>
                <w:rFonts w:asciiTheme="minorEastAsia" w:hAnsiTheme="minorEastAsia"/>
                <w:b/>
                <w:color w:val="000000"/>
              </w:rPr>
              <w:t>要素</w:t>
            </w:r>
          </w:p>
        </w:tc>
        <w:tc>
          <w:tcPr>
            <w:tcW w:w="567" w:type="dxa"/>
            <w:vMerge w:val="restart"/>
            <w:vAlign w:val="center"/>
          </w:tcPr>
          <w:p>
            <w:pPr>
              <w:autoSpaceDN w:val="0"/>
              <w:jc w:val="center"/>
              <w:textAlignment w:val="center"/>
              <w:rPr>
                <w:rFonts w:asciiTheme="minorEastAsia" w:hAnsiTheme="minorEastAsia"/>
                <w:b/>
                <w:color w:val="000000"/>
              </w:rPr>
            </w:pPr>
            <w:r>
              <w:rPr>
                <w:rFonts w:asciiTheme="minorEastAsia" w:hAnsiTheme="minorEastAsia"/>
                <w:b/>
                <w:color w:val="000000"/>
              </w:rPr>
              <w:t>评估项目</w:t>
            </w:r>
          </w:p>
        </w:tc>
        <w:tc>
          <w:tcPr>
            <w:tcW w:w="709" w:type="dxa"/>
            <w:vMerge w:val="restart"/>
            <w:vAlign w:val="center"/>
          </w:tcPr>
          <w:p>
            <w:pPr>
              <w:autoSpaceDN w:val="0"/>
              <w:jc w:val="center"/>
              <w:textAlignment w:val="center"/>
              <w:rPr>
                <w:rFonts w:asciiTheme="minorEastAsia" w:hAnsiTheme="minorEastAsia"/>
                <w:b/>
                <w:color w:val="000000"/>
              </w:rPr>
            </w:pPr>
            <w:r>
              <w:rPr>
                <w:rFonts w:asciiTheme="minorEastAsia" w:hAnsiTheme="minorEastAsia"/>
                <w:b/>
                <w:color w:val="000000"/>
              </w:rPr>
              <w:t>评估指标</w:t>
            </w:r>
          </w:p>
        </w:tc>
        <w:tc>
          <w:tcPr>
            <w:tcW w:w="462" w:type="dxa"/>
            <w:vMerge w:val="restart"/>
            <w:vAlign w:val="center"/>
          </w:tcPr>
          <w:p>
            <w:pPr>
              <w:autoSpaceDN w:val="0"/>
              <w:jc w:val="center"/>
              <w:textAlignment w:val="center"/>
              <w:rPr>
                <w:rFonts w:asciiTheme="minorEastAsia" w:hAnsiTheme="minorEastAsia"/>
                <w:b/>
                <w:color w:val="000000"/>
              </w:rPr>
            </w:pPr>
            <w:r>
              <w:rPr>
                <w:rFonts w:asciiTheme="minorEastAsia" w:hAnsiTheme="minorEastAsia"/>
                <w:b/>
                <w:color w:val="000000"/>
              </w:rPr>
              <w:t>指标</w:t>
            </w:r>
          </w:p>
          <w:p>
            <w:pPr>
              <w:autoSpaceDN w:val="0"/>
              <w:jc w:val="center"/>
              <w:textAlignment w:val="center"/>
              <w:rPr>
                <w:rFonts w:asciiTheme="minorEastAsia" w:hAnsiTheme="minorEastAsia"/>
                <w:b/>
                <w:color w:val="000000"/>
              </w:rPr>
            </w:pPr>
            <w:r>
              <w:rPr>
                <w:rFonts w:asciiTheme="minorEastAsia" w:hAnsiTheme="minorEastAsia"/>
                <w:b/>
                <w:color w:val="000000"/>
              </w:rPr>
              <w:t>权重</w:t>
            </w:r>
          </w:p>
        </w:tc>
        <w:tc>
          <w:tcPr>
            <w:tcW w:w="3365" w:type="dxa"/>
            <w:vMerge w:val="restart"/>
            <w:vAlign w:val="center"/>
          </w:tcPr>
          <w:p>
            <w:pPr>
              <w:autoSpaceDN w:val="0"/>
              <w:jc w:val="center"/>
              <w:textAlignment w:val="center"/>
              <w:rPr>
                <w:rFonts w:asciiTheme="minorEastAsia" w:hAnsiTheme="minorEastAsia"/>
                <w:b/>
                <w:color w:val="000000"/>
              </w:rPr>
            </w:pPr>
            <w:r>
              <w:rPr>
                <w:rFonts w:asciiTheme="minorEastAsia" w:hAnsiTheme="minorEastAsia"/>
                <w:b/>
                <w:color w:val="000000"/>
              </w:rPr>
              <w:t>评价内容</w:t>
            </w:r>
          </w:p>
        </w:tc>
        <w:tc>
          <w:tcPr>
            <w:tcW w:w="8080" w:type="dxa"/>
            <w:gridSpan w:val="4"/>
            <w:vAlign w:val="center"/>
          </w:tcPr>
          <w:p>
            <w:pPr>
              <w:autoSpaceDN w:val="0"/>
              <w:jc w:val="center"/>
              <w:textAlignment w:val="center"/>
              <w:rPr>
                <w:rFonts w:asciiTheme="minorEastAsia" w:hAnsiTheme="minorEastAsia"/>
                <w:b/>
                <w:color w:val="000000"/>
              </w:rPr>
            </w:pPr>
            <w:r>
              <w:rPr>
                <w:rFonts w:asciiTheme="minorEastAsia" w:hAnsiTheme="minorEastAsia"/>
                <w:b/>
                <w:color w:val="00000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90" w:hRule="atLeast"/>
        </w:trPr>
        <w:tc>
          <w:tcPr>
            <w:tcW w:w="582" w:type="dxa"/>
            <w:vMerge w:val="continue"/>
            <w:vAlign w:val="center"/>
          </w:tcPr>
          <w:p>
            <w:pPr>
              <w:autoSpaceDN w:val="0"/>
              <w:jc w:val="center"/>
              <w:textAlignment w:val="center"/>
              <w:rPr>
                <w:rFonts w:asciiTheme="minorEastAsia" w:hAnsiTheme="minorEastAsia"/>
                <w:b/>
                <w:color w:val="000000"/>
              </w:rPr>
            </w:pPr>
          </w:p>
        </w:tc>
        <w:tc>
          <w:tcPr>
            <w:tcW w:w="567" w:type="dxa"/>
            <w:vMerge w:val="continue"/>
            <w:vAlign w:val="center"/>
          </w:tcPr>
          <w:p>
            <w:pPr>
              <w:rPr>
                <w:rFonts w:asciiTheme="minorEastAsia" w:hAnsiTheme="minorEastAsia"/>
                <w:b/>
                <w:color w:val="000000"/>
              </w:rPr>
            </w:pPr>
          </w:p>
        </w:tc>
        <w:tc>
          <w:tcPr>
            <w:tcW w:w="709" w:type="dxa"/>
            <w:vMerge w:val="continue"/>
            <w:vAlign w:val="center"/>
          </w:tcPr>
          <w:p>
            <w:pPr>
              <w:rPr>
                <w:rFonts w:asciiTheme="minorEastAsia" w:hAnsiTheme="minorEastAsia"/>
                <w:b/>
                <w:color w:val="000000"/>
              </w:rPr>
            </w:pPr>
          </w:p>
        </w:tc>
        <w:tc>
          <w:tcPr>
            <w:tcW w:w="462" w:type="dxa"/>
            <w:vMerge w:val="continue"/>
            <w:vAlign w:val="center"/>
          </w:tcPr>
          <w:p>
            <w:pPr>
              <w:autoSpaceDN w:val="0"/>
              <w:jc w:val="center"/>
              <w:textAlignment w:val="center"/>
              <w:rPr>
                <w:rFonts w:asciiTheme="minorEastAsia" w:hAnsiTheme="minorEastAsia"/>
                <w:b/>
                <w:color w:val="000000"/>
              </w:rPr>
            </w:pPr>
          </w:p>
        </w:tc>
        <w:tc>
          <w:tcPr>
            <w:tcW w:w="3365" w:type="dxa"/>
            <w:vMerge w:val="continue"/>
            <w:vAlign w:val="center"/>
          </w:tcPr>
          <w:p>
            <w:pPr>
              <w:rPr>
                <w:rFonts w:asciiTheme="minorEastAsia" w:hAnsiTheme="minorEastAsia"/>
                <w:b/>
                <w:color w:val="000000"/>
              </w:rPr>
            </w:pPr>
          </w:p>
        </w:tc>
        <w:tc>
          <w:tcPr>
            <w:tcW w:w="2127" w:type="dxa"/>
            <w:vAlign w:val="center"/>
          </w:tcPr>
          <w:p>
            <w:pPr>
              <w:autoSpaceDN w:val="0"/>
              <w:jc w:val="center"/>
              <w:textAlignment w:val="center"/>
              <w:rPr>
                <w:rFonts w:asciiTheme="minorEastAsia" w:hAnsiTheme="minorEastAsia"/>
                <w:b/>
                <w:color w:val="000000"/>
              </w:rPr>
            </w:pPr>
            <w:r>
              <w:rPr>
                <w:rFonts w:asciiTheme="minorEastAsia" w:hAnsiTheme="minorEastAsia"/>
                <w:b/>
                <w:color w:val="000000"/>
              </w:rPr>
              <w:t>A类（100分）</w:t>
            </w:r>
          </w:p>
        </w:tc>
        <w:tc>
          <w:tcPr>
            <w:tcW w:w="1984" w:type="dxa"/>
            <w:vAlign w:val="center"/>
          </w:tcPr>
          <w:p>
            <w:pPr>
              <w:autoSpaceDN w:val="0"/>
              <w:jc w:val="center"/>
              <w:textAlignment w:val="center"/>
              <w:rPr>
                <w:rFonts w:asciiTheme="minorEastAsia" w:hAnsiTheme="minorEastAsia"/>
                <w:b/>
                <w:color w:val="000000"/>
              </w:rPr>
            </w:pPr>
            <w:r>
              <w:rPr>
                <w:rFonts w:asciiTheme="minorEastAsia" w:hAnsiTheme="minorEastAsia"/>
                <w:b/>
                <w:color w:val="000000"/>
              </w:rPr>
              <w:t>B类（80分）</w:t>
            </w:r>
          </w:p>
        </w:tc>
        <w:tc>
          <w:tcPr>
            <w:tcW w:w="1985" w:type="dxa"/>
            <w:vAlign w:val="center"/>
          </w:tcPr>
          <w:p>
            <w:pPr>
              <w:autoSpaceDN w:val="0"/>
              <w:jc w:val="center"/>
              <w:textAlignment w:val="center"/>
              <w:rPr>
                <w:rFonts w:asciiTheme="minorEastAsia" w:hAnsiTheme="minorEastAsia"/>
                <w:b/>
                <w:color w:val="000000"/>
              </w:rPr>
            </w:pPr>
            <w:r>
              <w:rPr>
                <w:rFonts w:asciiTheme="minorEastAsia" w:hAnsiTheme="minorEastAsia"/>
                <w:b/>
                <w:color w:val="000000"/>
              </w:rPr>
              <w:t>C类（60分）</w:t>
            </w:r>
          </w:p>
        </w:tc>
        <w:tc>
          <w:tcPr>
            <w:tcW w:w="1984" w:type="dxa"/>
            <w:vAlign w:val="center"/>
          </w:tcPr>
          <w:p>
            <w:pPr>
              <w:autoSpaceDN w:val="0"/>
              <w:jc w:val="center"/>
              <w:textAlignment w:val="center"/>
              <w:rPr>
                <w:rFonts w:asciiTheme="minorEastAsia" w:hAnsiTheme="minorEastAsia"/>
                <w:b/>
                <w:color w:val="000000"/>
              </w:rPr>
            </w:pPr>
            <w:r>
              <w:rPr>
                <w:rFonts w:asciiTheme="minorEastAsia" w:hAnsiTheme="minorEastAsia"/>
                <w:b/>
                <w:color w:val="000000"/>
              </w:rPr>
              <w:t>D类（40分）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930" w:hRule="atLeast"/>
        </w:trPr>
        <w:tc>
          <w:tcPr>
            <w:tcW w:w="582" w:type="dxa"/>
            <w:vMerge w:val="restart"/>
            <w:vAlign w:val="center"/>
          </w:tcPr>
          <w:p>
            <w:pPr>
              <w:autoSpaceDN w:val="0"/>
              <w:jc w:val="center"/>
              <w:textAlignment w:val="center"/>
              <w:rPr>
                <w:rFonts w:asciiTheme="minorEastAsia" w:hAnsiTheme="minorEastAsia"/>
                <w:color w:val="000000"/>
                <w:szCs w:val="21"/>
              </w:rPr>
            </w:pPr>
            <w:r>
              <w:rPr>
                <w:rFonts w:hint="eastAsia" w:asciiTheme="minorEastAsia" w:hAnsiTheme="minorEastAsia"/>
                <w:color w:val="000000"/>
                <w:szCs w:val="21"/>
              </w:rPr>
              <w:t>基本条件</w:t>
            </w:r>
          </w:p>
        </w:tc>
        <w:tc>
          <w:tcPr>
            <w:tcW w:w="567" w:type="dxa"/>
            <w:vMerge w:val="restart"/>
            <w:vAlign w:val="center"/>
          </w:tcPr>
          <w:p>
            <w:pPr>
              <w:autoSpaceDN w:val="0"/>
              <w:jc w:val="center"/>
              <w:textAlignment w:val="center"/>
              <w:rPr>
                <w:rFonts w:asciiTheme="minorEastAsia" w:hAnsiTheme="minorEastAsia"/>
                <w:color w:val="000000"/>
                <w:szCs w:val="21"/>
              </w:rPr>
            </w:pPr>
            <w:r>
              <w:rPr>
                <w:rFonts w:hint="eastAsia" w:asciiTheme="minorEastAsia" w:hAnsiTheme="minorEastAsia"/>
                <w:color w:val="000000"/>
                <w:szCs w:val="21"/>
              </w:rPr>
              <w:t>师资队伍</w:t>
            </w:r>
          </w:p>
        </w:tc>
        <w:tc>
          <w:tcPr>
            <w:tcW w:w="709"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师资规模</w:t>
            </w:r>
          </w:p>
        </w:tc>
        <w:tc>
          <w:tcPr>
            <w:tcW w:w="462"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6%</w:t>
            </w:r>
          </w:p>
        </w:tc>
        <w:tc>
          <w:tcPr>
            <w:tcW w:w="3365"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有足够的拥有硕士生指导资格的教学人员，平均每师每年指导MAS学位论文数</w:t>
            </w:r>
          </w:p>
        </w:tc>
        <w:tc>
          <w:tcPr>
            <w:tcW w:w="2127"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w:t>
            </w:r>
            <w:r>
              <w:rPr>
                <w:rFonts w:hint="eastAsia" w:asciiTheme="minorEastAsia" w:hAnsiTheme="minorEastAsia"/>
                <w:color w:val="000000"/>
                <w:szCs w:val="21"/>
              </w:rPr>
              <w:t>3</w:t>
            </w:r>
            <w:r>
              <w:rPr>
                <w:rFonts w:asciiTheme="minorEastAsia" w:hAnsiTheme="minorEastAsia"/>
                <w:color w:val="000000"/>
                <w:szCs w:val="21"/>
              </w:rPr>
              <w:t>篇</w:t>
            </w:r>
          </w:p>
        </w:tc>
        <w:tc>
          <w:tcPr>
            <w:tcW w:w="1984"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w:t>
            </w:r>
            <w:r>
              <w:rPr>
                <w:rFonts w:hint="eastAsia" w:asciiTheme="minorEastAsia" w:hAnsiTheme="minorEastAsia"/>
                <w:color w:val="000000"/>
                <w:szCs w:val="21"/>
              </w:rPr>
              <w:t>4</w:t>
            </w:r>
            <w:r>
              <w:rPr>
                <w:rFonts w:asciiTheme="minorEastAsia" w:hAnsiTheme="minorEastAsia"/>
                <w:color w:val="000000"/>
                <w:szCs w:val="21"/>
              </w:rPr>
              <w:t>篇</w:t>
            </w:r>
          </w:p>
        </w:tc>
        <w:tc>
          <w:tcPr>
            <w:tcW w:w="1985"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w:t>
            </w:r>
            <w:r>
              <w:rPr>
                <w:rFonts w:hint="eastAsia" w:asciiTheme="minorEastAsia" w:hAnsiTheme="minorEastAsia"/>
                <w:color w:val="000000"/>
                <w:szCs w:val="21"/>
              </w:rPr>
              <w:t>5</w:t>
            </w:r>
            <w:r>
              <w:rPr>
                <w:rFonts w:asciiTheme="minorEastAsia" w:hAnsiTheme="minorEastAsia"/>
                <w:color w:val="000000"/>
                <w:szCs w:val="21"/>
              </w:rPr>
              <w:t>篇</w:t>
            </w:r>
          </w:p>
        </w:tc>
        <w:tc>
          <w:tcPr>
            <w:tcW w:w="1984"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＞6篇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1083" w:hRule="atLeast"/>
        </w:trPr>
        <w:tc>
          <w:tcPr>
            <w:tcW w:w="582" w:type="dxa"/>
            <w:vMerge w:val="continue"/>
            <w:vAlign w:val="center"/>
          </w:tcPr>
          <w:p>
            <w:pPr>
              <w:rPr>
                <w:rFonts w:asciiTheme="minorEastAsia" w:hAnsiTheme="minorEastAsia"/>
                <w:color w:val="000000"/>
                <w:szCs w:val="21"/>
              </w:rPr>
            </w:pPr>
          </w:p>
        </w:tc>
        <w:tc>
          <w:tcPr>
            <w:tcW w:w="567" w:type="dxa"/>
            <w:vMerge w:val="continue"/>
            <w:vAlign w:val="center"/>
          </w:tcPr>
          <w:p>
            <w:pPr>
              <w:autoSpaceDN w:val="0"/>
              <w:jc w:val="center"/>
              <w:textAlignment w:val="center"/>
              <w:rPr>
                <w:rFonts w:asciiTheme="minorEastAsia" w:hAnsiTheme="minorEastAsia"/>
                <w:color w:val="000000"/>
                <w:szCs w:val="21"/>
              </w:rPr>
            </w:pPr>
          </w:p>
        </w:tc>
        <w:tc>
          <w:tcPr>
            <w:tcW w:w="709"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师资结构</w:t>
            </w:r>
          </w:p>
        </w:tc>
        <w:tc>
          <w:tcPr>
            <w:tcW w:w="462"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6%</w:t>
            </w:r>
          </w:p>
        </w:tc>
        <w:tc>
          <w:tcPr>
            <w:tcW w:w="3365"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 xml:space="preserve">近3年内，所有MAS课程任课教师中，副高以上职称或有博士学位，或讲授所教课程5年以上的比重 </w:t>
            </w:r>
          </w:p>
        </w:tc>
        <w:tc>
          <w:tcPr>
            <w:tcW w:w="2127"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100%</w:t>
            </w:r>
          </w:p>
        </w:tc>
        <w:tc>
          <w:tcPr>
            <w:tcW w:w="1984"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85%（含）至100%（不含）</w:t>
            </w:r>
          </w:p>
        </w:tc>
        <w:tc>
          <w:tcPr>
            <w:tcW w:w="1985"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70%（含）至85%（不含）</w:t>
            </w:r>
          </w:p>
        </w:tc>
        <w:tc>
          <w:tcPr>
            <w:tcW w:w="1984"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1083" w:hRule="atLeast"/>
        </w:trPr>
        <w:tc>
          <w:tcPr>
            <w:tcW w:w="582" w:type="dxa"/>
            <w:vMerge w:val="continue"/>
            <w:vAlign w:val="center"/>
          </w:tcPr>
          <w:p>
            <w:pPr>
              <w:rPr>
                <w:rFonts w:asciiTheme="minorEastAsia" w:hAnsiTheme="minorEastAsia"/>
                <w:color w:val="000000"/>
                <w:szCs w:val="21"/>
              </w:rPr>
            </w:pPr>
          </w:p>
        </w:tc>
        <w:tc>
          <w:tcPr>
            <w:tcW w:w="567" w:type="dxa"/>
            <w:vMerge w:val="continue"/>
            <w:vAlign w:val="center"/>
          </w:tcPr>
          <w:p>
            <w:pPr>
              <w:autoSpaceDN w:val="0"/>
              <w:jc w:val="center"/>
              <w:textAlignment w:val="center"/>
              <w:rPr>
                <w:rFonts w:asciiTheme="minorEastAsia" w:hAnsiTheme="minorEastAsia"/>
                <w:color w:val="000000"/>
                <w:szCs w:val="21"/>
              </w:rPr>
            </w:pPr>
          </w:p>
        </w:tc>
        <w:tc>
          <w:tcPr>
            <w:tcW w:w="709" w:type="dxa"/>
            <w:vAlign w:val="center"/>
          </w:tcPr>
          <w:p>
            <w:pPr>
              <w:autoSpaceDN w:val="0"/>
              <w:jc w:val="center"/>
              <w:textAlignment w:val="center"/>
              <w:rPr>
                <w:rFonts w:asciiTheme="minorEastAsia" w:hAnsiTheme="minorEastAsia"/>
                <w:color w:val="000000"/>
                <w:szCs w:val="21"/>
              </w:rPr>
            </w:pPr>
            <w:r>
              <w:rPr>
                <w:rFonts w:hint="eastAsia" w:asciiTheme="minorEastAsia" w:hAnsiTheme="minorEastAsia"/>
                <w:color w:val="000000"/>
                <w:szCs w:val="21"/>
              </w:rPr>
              <w:t>外聘导师</w:t>
            </w:r>
          </w:p>
        </w:tc>
        <w:tc>
          <w:tcPr>
            <w:tcW w:w="462"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5%</w:t>
            </w:r>
          </w:p>
        </w:tc>
        <w:tc>
          <w:tcPr>
            <w:tcW w:w="3365"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在业界工作且水平较高的校外导师</w:t>
            </w:r>
          </w:p>
        </w:tc>
        <w:tc>
          <w:tcPr>
            <w:tcW w:w="2127" w:type="dxa"/>
            <w:vAlign w:val="center"/>
          </w:tcPr>
          <w:p>
            <w:pPr>
              <w:autoSpaceDN w:val="0"/>
              <w:textAlignment w:val="center"/>
              <w:rPr>
                <w:rFonts w:asciiTheme="minorEastAsia" w:hAnsiTheme="minorEastAsia"/>
                <w:szCs w:val="21"/>
              </w:rPr>
            </w:pPr>
            <w:r>
              <w:rPr>
                <w:rFonts w:hint="eastAsia" w:asciiTheme="minorEastAsia" w:hAnsiTheme="minorEastAsia"/>
                <w:szCs w:val="21"/>
              </w:rPr>
              <w:t>校外导师数量占全体教师数量的7</w:t>
            </w:r>
            <w:r>
              <w:rPr>
                <w:rFonts w:asciiTheme="minorEastAsia" w:hAnsiTheme="minorEastAsia"/>
                <w:szCs w:val="21"/>
              </w:rPr>
              <w:t>0%</w:t>
            </w:r>
            <w:r>
              <w:rPr>
                <w:rFonts w:hint="eastAsia" w:asciiTheme="minorEastAsia" w:hAnsiTheme="minorEastAsia"/>
                <w:szCs w:val="21"/>
              </w:rPr>
              <w:t>（含）以上</w:t>
            </w:r>
          </w:p>
        </w:tc>
        <w:tc>
          <w:tcPr>
            <w:tcW w:w="1984" w:type="dxa"/>
            <w:vAlign w:val="center"/>
          </w:tcPr>
          <w:p>
            <w:pPr>
              <w:autoSpaceDN w:val="0"/>
              <w:textAlignment w:val="center"/>
              <w:rPr>
                <w:rFonts w:asciiTheme="minorEastAsia" w:hAnsiTheme="minorEastAsia"/>
                <w:szCs w:val="21"/>
              </w:rPr>
            </w:pPr>
            <w:r>
              <w:rPr>
                <w:rFonts w:hint="eastAsia" w:asciiTheme="minorEastAsia" w:hAnsiTheme="minorEastAsia"/>
                <w:szCs w:val="21"/>
              </w:rPr>
              <w:t>校外导师数量占全体教师数量的</w:t>
            </w:r>
            <w:r>
              <w:rPr>
                <w:rFonts w:asciiTheme="minorEastAsia" w:hAnsiTheme="minorEastAsia"/>
                <w:szCs w:val="21"/>
              </w:rPr>
              <w:t xml:space="preserve"> 50%</w:t>
            </w:r>
            <w:r>
              <w:rPr>
                <w:rFonts w:hint="eastAsia" w:asciiTheme="minorEastAsia" w:hAnsiTheme="minorEastAsia"/>
                <w:szCs w:val="21"/>
              </w:rPr>
              <w:t>（含）</w:t>
            </w:r>
            <w:r>
              <w:rPr>
                <w:rFonts w:asciiTheme="minorEastAsia" w:hAnsiTheme="minorEastAsia"/>
                <w:szCs w:val="21"/>
              </w:rPr>
              <w:t xml:space="preserve"> </w:t>
            </w:r>
            <w:r>
              <w:rPr>
                <w:rFonts w:hint="eastAsia" w:asciiTheme="minorEastAsia" w:hAnsiTheme="minorEastAsia"/>
                <w:szCs w:val="21"/>
              </w:rPr>
              <w:t>以上</w:t>
            </w:r>
          </w:p>
        </w:tc>
        <w:tc>
          <w:tcPr>
            <w:tcW w:w="1985" w:type="dxa"/>
            <w:vAlign w:val="center"/>
          </w:tcPr>
          <w:p>
            <w:pPr>
              <w:autoSpaceDN w:val="0"/>
              <w:textAlignment w:val="center"/>
              <w:rPr>
                <w:rFonts w:asciiTheme="minorEastAsia" w:hAnsiTheme="minorEastAsia"/>
                <w:szCs w:val="21"/>
              </w:rPr>
            </w:pPr>
            <w:r>
              <w:rPr>
                <w:rFonts w:hint="eastAsia" w:asciiTheme="minorEastAsia" w:hAnsiTheme="minorEastAsia"/>
                <w:szCs w:val="21"/>
              </w:rPr>
              <w:t>校外导师数量占全体教师数量的3</w:t>
            </w:r>
            <w:r>
              <w:rPr>
                <w:rFonts w:asciiTheme="minorEastAsia" w:hAnsiTheme="minorEastAsia"/>
                <w:szCs w:val="21"/>
              </w:rPr>
              <w:t>0%</w:t>
            </w:r>
            <w:r>
              <w:rPr>
                <w:rFonts w:hint="eastAsia" w:asciiTheme="minorEastAsia" w:hAnsiTheme="minorEastAsia"/>
                <w:szCs w:val="21"/>
              </w:rPr>
              <w:t>（含）以上</w:t>
            </w:r>
          </w:p>
        </w:tc>
        <w:tc>
          <w:tcPr>
            <w:tcW w:w="1984" w:type="dxa"/>
            <w:vAlign w:val="center"/>
          </w:tcPr>
          <w:p>
            <w:pPr>
              <w:autoSpaceDN w:val="0"/>
              <w:jc w:val="center"/>
              <w:textAlignment w:val="center"/>
              <w:rPr>
                <w:rFonts w:asciiTheme="minorEastAsia" w:hAnsiTheme="minorEastAsia"/>
                <w:szCs w:val="21"/>
              </w:rPr>
            </w:pPr>
            <w:r>
              <w:rPr>
                <w:rFonts w:hint="eastAsia" w:asciiTheme="minorEastAsia" w:hAnsiTheme="minorEastAsia"/>
                <w:szCs w:val="21"/>
              </w:rPr>
              <w:t>校外导师数量占全体教师数量的</w:t>
            </w:r>
            <w:r>
              <w:rPr>
                <w:rFonts w:asciiTheme="minorEastAsia" w:hAnsiTheme="minorEastAsia"/>
                <w:szCs w:val="21"/>
              </w:rPr>
              <w:t>30%</w:t>
            </w:r>
            <w:r>
              <w:rPr>
                <w:rFonts w:hint="eastAsia" w:asciiTheme="minorEastAsia" w:hAnsiTheme="minorEastAsia"/>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70" w:hRule="atLeast"/>
        </w:trPr>
        <w:tc>
          <w:tcPr>
            <w:tcW w:w="582" w:type="dxa"/>
            <w:vMerge w:val="continue"/>
            <w:vAlign w:val="center"/>
          </w:tcPr>
          <w:p>
            <w:pPr>
              <w:rPr>
                <w:rFonts w:asciiTheme="minorEastAsia" w:hAnsiTheme="minorEastAsia"/>
                <w:color w:val="000000"/>
                <w:szCs w:val="21"/>
              </w:rPr>
            </w:pPr>
          </w:p>
        </w:tc>
        <w:tc>
          <w:tcPr>
            <w:tcW w:w="567" w:type="dxa"/>
            <w:vMerge w:val="continue"/>
            <w:vAlign w:val="center"/>
          </w:tcPr>
          <w:p>
            <w:pPr>
              <w:autoSpaceDN w:val="0"/>
              <w:jc w:val="center"/>
              <w:textAlignment w:val="center"/>
              <w:rPr>
                <w:rFonts w:asciiTheme="minorEastAsia" w:hAnsiTheme="minorEastAsia"/>
                <w:color w:val="000000"/>
                <w:szCs w:val="21"/>
              </w:rPr>
            </w:pPr>
          </w:p>
        </w:tc>
        <w:tc>
          <w:tcPr>
            <w:tcW w:w="709" w:type="dxa"/>
            <w:vAlign w:val="center"/>
          </w:tcPr>
          <w:p>
            <w:pPr>
              <w:autoSpaceDN w:val="0"/>
              <w:jc w:val="center"/>
              <w:textAlignment w:val="center"/>
              <w:rPr>
                <w:rFonts w:asciiTheme="minorEastAsia" w:hAnsiTheme="minorEastAsia"/>
                <w:szCs w:val="21"/>
              </w:rPr>
            </w:pPr>
            <w:r>
              <w:rPr>
                <w:rFonts w:asciiTheme="minorEastAsia" w:hAnsiTheme="minorEastAsia"/>
                <w:szCs w:val="21"/>
              </w:rPr>
              <w:t>师资培训</w:t>
            </w:r>
          </w:p>
        </w:tc>
        <w:tc>
          <w:tcPr>
            <w:tcW w:w="462"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3%</w:t>
            </w:r>
          </w:p>
        </w:tc>
        <w:tc>
          <w:tcPr>
            <w:tcW w:w="3365"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近3年内，MAS课程任课教师参加相关的进修、课程研讨活动情况</w:t>
            </w:r>
          </w:p>
        </w:tc>
        <w:tc>
          <w:tcPr>
            <w:tcW w:w="2127"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平均每人参加1次以上</w:t>
            </w:r>
          </w:p>
        </w:tc>
        <w:tc>
          <w:tcPr>
            <w:tcW w:w="1984"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平均每人参加1/2次以上</w:t>
            </w:r>
          </w:p>
        </w:tc>
        <w:tc>
          <w:tcPr>
            <w:tcW w:w="1985"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平均每人参加1/3次以上</w:t>
            </w:r>
          </w:p>
        </w:tc>
        <w:tc>
          <w:tcPr>
            <w:tcW w:w="1984"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没有满足上述条件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1301" w:hRule="atLeast"/>
        </w:trPr>
        <w:tc>
          <w:tcPr>
            <w:tcW w:w="582" w:type="dxa"/>
            <w:vMerge w:val="continue"/>
            <w:vAlign w:val="center"/>
          </w:tcPr>
          <w:p>
            <w:pPr>
              <w:rPr>
                <w:rFonts w:asciiTheme="minorEastAsia" w:hAnsiTheme="minorEastAsia"/>
                <w:color w:val="000000"/>
                <w:szCs w:val="21"/>
              </w:rPr>
            </w:pPr>
          </w:p>
        </w:tc>
        <w:tc>
          <w:tcPr>
            <w:tcW w:w="567" w:type="dxa"/>
            <w:vMerge w:val="restart"/>
            <w:vAlign w:val="center"/>
          </w:tcPr>
          <w:p>
            <w:pPr>
              <w:autoSpaceDN w:val="0"/>
              <w:jc w:val="center"/>
              <w:textAlignment w:val="center"/>
              <w:rPr>
                <w:rFonts w:asciiTheme="minorEastAsia" w:hAnsiTheme="minorEastAsia"/>
                <w:color w:val="000000"/>
                <w:szCs w:val="21"/>
              </w:rPr>
            </w:pPr>
            <w:r>
              <w:rPr>
                <w:rFonts w:hint="eastAsia" w:asciiTheme="minorEastAsia" w:hAnsiTheme="minorEastAsia"/>
                <w:color w:val="000000"/>
                <w:szCs w:val="21"/>
              </w:rPr>
              <w:t>教学科研支撑</w:t>
            </w:r>
          </w:p>
        </w:tc>
        <w:tc>
          <w:tcPr>
            <w:tcW w:w="709"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教学设施</w:t>
            </w:r>
          </w:p>
        </w:tc>
        <w:tc>
          <w:tcPr>
            <w:tcW w:w="462"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5%</w:t>
            </w:r>
          </w:p>
        </w:tc>
        <w:tc>
          <w:tcPr>
            <w:tcW w:w="3365" w:type="dxa"/>
            <w:vAlign w:val="center"/>
          </w:tcPr>
          <w:p>
            <w:pPr>
              <w:autoSpaceDN w:val="0"/>
              <w:jc w:val="left"/>
              <w:textAlignment w:val="center"/>
              <w:rPr>
                <w:rFonts w:asciiTheme="minorEastAsia" w:hAnsiTheme="minorEastAsia"/>
                <w:color w:val="000000"/>
                <w:szCs w:val="21"/>
              </w:rPr>
            </w:pPr>
            <w:r>
              <w:rPr>
                <w:rFonts w:asciiTheme="minorEastAsia" w:hAnsiTheme="minorEastAsia"/>
                <w:color w:val="000000"/>
                <w:szCs w:val="21"/>
              </w:rPr>
              <w:t>有足够数量的专用案例教学设施和实验室，有足够数量的多媒体教学设施，具备必要的MAS课程实验条件</w:t>
            </w:r>
          </w:p>
        </w:tc>
        <w:tc>
          <w:tcPr>
            <w:tcW w:w="2127" w:type="dxa"/>
          </w:tcPr>
          <w:p>
            <w:pPr>
              <w:autoSpaceDN w:val="0"/>
              <w:textAlignment w:val="center"/>
              <w:rPr>
                <w:rFonts w:asciiTheme="minorEastAsia" w:hAnsiTheme="minorEastAsia"/>
                <w:color w:val="000000"/>
                <w:szCs w:val="21"/>
              </w:rPr>
            </w:pPr>
            <w:r>
              <w:rPr>
                <w:rFonts w:asciiTheme="minorEastAsia" w:hAnsiTheme="minorEastAsia"/>
                <w:color w:val="000000"/>
                <w:szCs w:val="21"/>
              </w:rPr>
              <w:t>教学设施先进且数量充足，能够充分满足教学需要</w:t>
            </w:r>
          </w:p>
        </w:tc>
        <w:tc>
          <w:tcPr>
            <w:tcW w:w="1984" w:type="dxa"/>
          </w:tcPr>
          <w:p>
            <w:pPr>
              <w:autoSpaceDN w:val="0"/>
              <w:textAlignment w:val="center"/>
              <w:rPr>
                <w:rFonts w:asciiTheme="minorEastAsia" w:hAnsiTheme="minorEastAsia"/>
                <w:color w:val="000000"/>
                <w:szCs w:val="21"/>
              </w:rPr>
            </w:pPr>
            <w:r>
              <w:rPr>
                <w:rFonts w:asciiTheme="minorEastAsia" w:hAnsiTheme="minorEastAsia"/>
                <w:color w:val="000000"/>
                <w:szCs w:val="21"/>
              </w:rPr>
              <w:t>教学设施数量及质量良好，能够满足教学需要</w:t>
            </w:r>
          </w:p>
        </w:tc>
        <w:tc>
          <w:tcPr>
            <w:tcW w:w="1985" w:type="dxa"/>
          </w:tcPr>
          <w:p>
            <w:pPr>
              <w:autoSpaceDN w:val="0"/>
              <w:textAlignment w:val="center"/>
              <w:rPr>
                <w:rFonts w:asciiTheme="minorEastAsia" w:hAnsiTheme="minorEastAsia"/>
                <w:color w:val="000000"/>
                <w:szCs w:val="21"/>
              </w:rPr>
            </w:pPr>
            <w:r>
              <w:rPr>
                <w:rFonts w:asciiTheme="minorEastAsia" w:hAnsiTheme="minorEastAsia"/>
                <w:color w:val="000000"/>
                <w:szCs w:val="21"/>
              </w:rPr>
              <w:t>教学设施数量有限，质量较为一般，勉强能够维持教学工作</w:t>
            </w:r>
          </w:p>
        </w:tc>
        <w:tc>
          <w:tcPr>
            <w:tcW w:w="1984" w:type="dxa"/>
          </w:tcPr>
          <w:p>
            <w:pPr>
              <w:autoSpaceDN w:val="0"/>
              <w:textAlignment w:val="center"/>
              <w:rPr>
                <w:rFonts w:asciiTheme="minorEastAsia" w:hAnsiTheme="minorEastAsia"/>
                <w:color w:val="000000"/>
                <w:szCs w:val="21"/>
              </w:rPr>
            </w:pPr>
            <w:r>
              <w:rPr>
                <w:rFonts w:asciiTheme="minorEastAsia" w:hAnsiTheme="minorEastAsia"/>
                <w:color w:val="000000"/>
                <w:szCs w:val="21"/>
              </w:rPr>
              <w:t>教学设施在数量和质量上均存在不足，影响正常教学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024" w:hRule="atLeast"/>
        </w:trPr>
        <w:tc>
          <w:tcPr>
            <w:tcW w:w="582" w:type="dxa"/>
            <w:vMerge w:val="continue"/>
            <w:vAlign w:val="center"/>
          </w:tcPr>
          <w:p>
            <w:pPr>
              <w:rPr>
                <w:rFonts w:asciiTheme="minorEastAsia" w:hAnsiTheme="minorEastAsia"/>
                <w:color w:val="000000"/>
                <w:szCs w:val="21"/>
              </w:rPr>
            </w:pPr>
          </w:p>
        </w:tc>
        <w:tc>
          <w:tcPr>
            <w:tcW w:w="567" w:type="dxa"/>
            <w:vMerge w:val="continue"/>
            <w:vAlign w:val="center"/>
          </w:tcPr>
          <w:p>
            <w:pPr>
              <w:autoSpaceDN w:val="0"/>
              <w:jc w:val="center"/>
              <w:textAlignment w:val="center"/>
              <w:rPr>
                <w:rFonts w:asciiTheme="minorEastAsia" w:hAnsiTheme="minorEastAsia"/>
                <w:color w:val="000000"/>
                <w:szCs w:val="21"/>
              </w:rPr>
            </w:pPr>
          </w:p>
        </w:tc>
        <w:tc>
          <w:tcPr>
            <w:tcW w:w="709"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图书资料与网络</w:t>
            </w:r>
          </w:p>
        </w:tc>
        <w:tc>
          <w:tcPr>
            <w:tcW w:w="462"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3%</w:t>
            </w:r>
          </w:p>
        </w:tc>
        <w:tc>
          <w:tcPr>
            <w:tcW w:w="3365"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MAS图书资料及数据库建设情况</w:t>
            </w:r>
          </w:p>
        </w:tc>
        <w:tc>
          <w:tcPr>
            <w:tcW w:w="2127"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MAS学生可以方便的浏览与学习相关的书籍、期刊，可以便利的使用有关数据库，且数据库较完备</w:t>
            </w:r>
          </w:p>
        </w:tc>
        <w:tc>
          <w:tcPr>
            <w:tcW w:w="1984" w:type="dxa"/>
          </w:tcPr>
          <w:p>
            <w:pPr>
              <w:autoSpaceDN w:val="0"/>
              <w:textAlignment w:val="center"/>
              <w:rPr>
                <w:rFonts w:asciiTheme="minorEastAsia" w:hAnsiTheme="minorEastAsia"/>
                <w:color w:val="000000"/>
                <w:szCs w:val="21"/>
              </w:rPr>
            </w:pPr>
            <w:r>
              <w:rPr>
                <w:rFonts w:asciiTheme="minorEastAsia" w:hAnsiTheme="minorEastAsia"/>
                <w:color w:val="000000"/>
                <w:szCs w:val="21"/>
              </w:rPr>
              <w:t>MAS学生可以浏览与学习相关的书籍、期刊，可使用数据库</w:t>
            </w:r>
          </w:p>
        </w:tc>
        <w:tc>
          <w:tcPr>
            <w:tcW w:w="1985" w:type="dxa"/>
          </w:tcPr>
          <w:p>
            <w:pPr>
              <w:autoSpaceDN w:val="0"/>
              <w:textAlignment w:val="center"/>
              <w:rPr>
                <w:rFonts w:asciiTheme="minorEastAsia" w:hAnsiTheme="minorEastAsia"/>
                <w:color w:val="000000"/>
                <w:szCs w:val="21"/>
              </w:rPr>
            </w:pPr>
            <w:r>
              <w:rPr>
                <w:rFonts w:asciiTheme="minorEastAsia" w:hAnsiTheme="minorEastAsia"/>
                <w:color w:val="000000"/>
                <w:szCs w:val="21"/>
              </w:rPr>
              <w:t>MAS学生可以浏览与学习相关的书籍、期刊</w:t>
            </w:r>
          </w:p>
        </w:tc>
        <w:tc>
          <w:tcPr>
            <w:tcW w:w="1984" w:type="dxa"/>
          </w:tcPr>
          <w:p>
            <w:pPr>
              <w:autoSpaceDN w:val="0"/>
              <w:textAlignment w:val="center"/>
              <w:rPr>
                <w:rFonts w:asciiTheme="minorEastAsia" w:hAnsiTheme="minorEastAsia"/>
                <w:color w:val="000000"/>
                <w:szCs w:val="21"/>
              </w:rPr>
            </w:pPr>
            <w:r>
              <w:rPr>
                <w:rFonts w:asciiTheme="minorEastAsia" w:hAnsiTheme="minorEastAsia"/>
                <w:color w:val="000000"/>
                <w:szCs w:val="21"/>
              </w:rPr>
              <w:t>没有达到以上条件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69" w:hRule="atLeast"/>
        </w:trPr>
        <w:tc>
          <w:tcPr>
            <w:tcW w:w="582" w:type="dxa"/>
            <w:vMerge w:val="restart"/>
            <w:vAlign w:val="center"/>
          </w:tcPr>
          <w:p>
            <w:pPr>
              <w:autoSpaceDN w:val="0"/>
              <w:jc w:val="center"/>
              <w:textAlignment w:val="center"/>
              <w:rPr>
                <w:rFonts w:asciiTheme="minorEastAsia" w:hAnsiTheme="minorEastAsia"/>
                <w:color w:val="000000"/>
                <w:szCs w:val="21"/>
              </w:rPr>
            </w:pPr>
            <w:r>
              <w:rPr>
                <w:rFonts w:hint="eastAsia" w:asciiTheme="minorEastAsia" w:hAnsiTheme="minorEastAsia"/>
                <w:color w:val="000000"/>
                <w:szCs w:val="21"/>
              </w:rPr>
              <w:t>人才培养</w:t>
            </w:r>
          </w:p>
        </w:tc>
        <w:tc>
          <w:tcPr>
            <w:tcW w:w="567" w:type="dxa"/>
            <w:vMerge w:val="restart"/>
            <w:vAlign w:val="center"/>
          </w:tcPr>
          <w:p>
            <w:pPr>
              <w:autoSpaceDN w:val="0"/>
              <w:jc w:val="center"/>
              <w:textAlignment w:val="center"/>
              <w:rPr>
                <w:rFonts w:asciiTheme="minorEastAsia" w:hAnsiTheme="minorEastAsia"/>
                <w:color w:val="000000"/>
                <w:szCs w:val="21"/>
              </w:rPr>
            </w:pPr>
            <w:r>
              <w:rPr>
                <w:rFonts w:hint="eastAsia" w:asciiTheme="minorEastAsia" w:hAnsiTheme="minorEastAsia"/>
                <w:color w:val="000000"/>
                <w:szCs w:val="21"/>
              </w:rPr>
              <w:t>招生选拔</w:t>
            </w:r>
          </w:p>
        </w:tc>
        <w:tc>
          <w:tcPr>
            <w:tcW w:w="709" w:type="dxa"/>
            <w:vAlign w:val="center"/>
          </w:tcPr>
          <w:p>
            <w:pPr>
              <w:autoSpaceDN w:val="0"/>
              <w:jc w:val="center"/>
              <w:textAlignment w:val="center"/>
              <w:rPr>
                <w:rFonts w:asciiTheme="minorEastAsia" w:hAnsiTheme="minorEastAsia"/>
                <w:szCs w:val="21"/>
              </w:rPr>
            </w:pPr>
            <w:r>
              <w:rPr>
                <w:rFonts w:hint="eastAsia" w:asciiTheme="minorEastAsia" w:hAnsiTheme="minorEastAsia"/>
                <w:szCs w:val="21"/>
              </w:rPr>
              <w:t>招生规模</w:t>
            </w:r>
          </w:p>
        </w:tc>
        <w:tc>
          <w:tcPr>
            <w:tcW w:w="462" w:type="dxa"/>
            <w:vAlign w:val="center"/>
          </w:tcPr>
          <w:p>
            <w:pPr>
              <w:autoSpaceDN w:val="0"/>
              <w:jc w:val="center"/>
              <w:textAlignment w:val="center"/>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w:t>
            </w:r>
          </w:p>
        </w:tc>
        <w:tc>
          <w:tcPr>
            <w:tcW w:w="3365" w:type="dxa"/>
            <w:vAlign w:val="center"/>
          </w:tcPr>
          <w:p>
            <w:pPr>
              <w:autoSpaceDN w:val="0"/>
              <w:textAlignment w:val="center"/>
              <w:rPr>
                <w:rFonts w:asciiTheme="minorEastAsia" w:hAnsiTheme="minorEastAsia"/>
                <w:szCs w:val="21"/>
              </w:rPr>
            </w:pPr>
            <w:r>
              <w:rPr>
                <w:rFonts w:asciiTheme="minorEastAsia" w:hAnsiTheme="minorEastAsia"/>
                <w:szCs w:val="21"/>
              </w:rPr>
              <w:t>近三年招生规模</w:t>
            </w:r>
          </w:p>
        </w:tc>
        <w:tc>
          <w:tcPr>
            <w:tcW w:w="2127" w:type="dxa"/>
            <w:vAlign w:val="center"/>
          </w:tcPr>
          <w:p>
            <w:pPr>
              <w:autoSpaceDN w:val="0"/>
              <w:textAlignment w:val="center"/>
              <w:rPr>
                <w:rFonts w:asciiTheme="minorEastAsia" w:hAnsiTheme="minorEastAsia"/>
                <w:szCs w:val="21"/>
              </w:rPr>
            </w:pPr>
            <w:r>
              <w:rPr>
                <w:rFonts w:asciiTheme="minorEastAsia" w:hAnsiTheme="minorEastAsia"/>
                <w:szCs w:val="21"/>
              </w:rPr>
              <w:t>近三年招生规模</w:t>
            </w:r>
            <w:r>
              <w:rPr>
                <w:rFonts w:hint="eastAsia" w:asciiTheme="minorEastAsia" w:hAnsiTheme="minorEastAsia"/>
                <w:szCs w:val="21"/>
              </w:rPr>
              <w:t>年</w:t>
            </w:r>
            <w:r>
              <w:rPr>
                <w:rFonts w:asciiTheme="minorEastAsia" w:hAnsiTheme="minorEastAsia"/>
                <w:szCs w:val="21"/>
              </w:rPr>
              <w:t>均</w:t>
            </w:r>
            <w:r>
              <w:rPr>
                <w:rFonts w:hint="eastAsia" w:asciiTheme="minorEastAsia" w:hAnsiTheme="minorEastAsia"/>
                <w:szCs w:val="21"/>
              </w:rPr>
              <w:t>人数为40人以上</w:t>
            </w:r>
          </w:p>
        </w:tc>
        <w:tc>
          <w:tcPr>
            <w:tcW w:w="1984" w:type="dxa"/>
            <w:vAlign w:val="center"/>
          </w:tcPr>
          <w:p>
            <w:pPr>
              <w:autoSpaceDN w:val="0"/>
              <w:textAlignment w:val="center"/>
              <w:rPr>
                <w:rFonts w:asciiTheme="minorEastAsia" w:hAnsiTheme="minorEastAsia"/>
                <w:szCs w:val="21"/>
              </w:rPr>
            </w:pPr>
            <w:r>
              <w:rPr>
                <w:rFonts w:asciiTheme="minorEastAsia" w:hAnsiTheme="minorEastAsia"/>
                <w:szCs w:val="21"/>
              </w:rPr>
              <w:t>近三年招生规模</w:t>
            </w:r>
            <w:r>
              <w:rPr>
                <w:rFonts w:hint="eastAsia" w:asciiTheme="minorEastAsia" w:hAnsiTheme="minorEastAsia"/>
                <w:szCs w:val="21"/>
              </w:rPr>
              <w:t>年</w:t>
            </w:r>
            <w:r>
              <w:rPr>
                <w:rFonts w:asciiTheme="minorEastAsia" w:hAnsiTheme="minorEastAsia"/>
                <w:szCs w:val="21"/>
              </w:rPr>
              <w:t>均</w:t>
            </w:r>
            <w:r>
              <w:rPr>
                <w:rFonts w:hint="eastAsia" w:asciiTheme="minorEastAsia" w:hAnsiTheme="minorEastAsia"/>
                <w:szCs w:val="21"/>
              </w:rPr>
              <w:t>人数为26-40人</w:t>
            </w:r>
          </w:p>
        </w:tc>
        <w:tc>
          <w:tcPr>
            <w:tcW w:w="1985" w:type="dxa"/>
            <w:vAlign w:val="center"/>
          </w:tcPr>
          <w:p>
            <w:pPr>
              <w:autoSpaceDN w:val="0"/>
              <w:textAlignment w:val="center"/>
              <w:rPr>
                <w:rFonts w:asciiTheme="minorEastAsia" w:hAnsiTheme="minorEastAsia"/>
                <w:szCs w:val="21"/>
              </w:rPr>
            </w:pPr>
            <w:r>
              <w:rPr>
                <w:rFonts w:asciiTheme="minorEastAsia" w:hAnsiTheme="minorEastAsia"/>
                <w:szCs w:val="21"/>
              </w:rPr>
              <w:t>近三年招生规模</w:t>
            </w:r>
            <w:r>
              <w:rPr>
                <w:rFonts w:hint="eastAsia" w:asciiTheme="minorEastAsia" w:hAnsiTheme="minorEastAsia"/>
                <w:szCs w:val="21"/>
              </w:rPr>
              <w:t>年均人数11-25人</w:t>
            </w:r>
          </w:p>
        </w:tc>
        <w:tc>
          <w:tcPr>
            <w:tcW w:w="1984" w:type="dxa"/>
            <w:vAlign w:val="center"/>
          </w:tcPr>
          <w:p>
            <w:pPr>
              <w:autoSpaceDN w:val="0"/>
              <w:textAlignment w:val="center"/>
              <w:rPr>
                <w:rFonts w:asciiTheme="minorEastAsia" w:hAnsiTheme="minorEastAsia"/>
                <w:szCs w:val="21"/>
              </w:rPr>
            </w:pPr>
            <w:r>
              <w:rPr>
                <w:rFonts w:asciiTheme="minorEastAsia" w:hAnsiTheme="minorEastAsia"/>
                <w:szCs w:val="21"/>
              </w:rPr>
              <w:t>近三年招生规模</w:t>
            </w:r>
            <w:r>
              <w:rPr>
                <w:rFonts w:hint="eastAsia" w:asciiTheme="minorEastAsia" w:hAnsiTheme="minorEastAsia"/>
                <w:szCs w:val="21"/>
              </w:rPr>
              <w:t>年均人数10人以下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609" w:hRule="atLeast"/>
        </w:trPr>
        <w:tc>
          <w:tcPr>
            <w:tcW w:w="582" w:type="dxa"/>
            <w:vMerge w:val="continue"/>
            <w:vAlign w:val="center"/>
          </w:tcPr>
          <w:p>
            <w:pPr>
              <w:rPr>
                <w:rFonts w:asciiTheme="minorEastAsia" w:hAnsiTheme="minorEastAsia"/>
                <w:color w:val="000000"/>
                <w:szCs w:val="21"/>
              </w:rPr>
            </w:pPr>
          </w:p>
        </w:tc>
        <w:tc>
          <w:tcPr>
            <w:tcW w:w="567" w:type="dxa"/>
            <w:vMerge w:val="continue"/>
            <w:vAlign w:val="center"/>
          </w:tcPr>
          <w:p>
            <w:pPr>
              <w:autoSpaceDN w:val="0"/>
              <w:jc w:val="center"/>
              <w:textAlignment w:val="center"/>
              <w:rPr>
                <w:rFonts w:asciiTheme="minorEastAsia" w:hAnsiTheme="minorEastAsia"/>
                <w:color w:val="000000"/>
                <w:szCs w:val="21"/>
              </w:rPr>
            </w:pPr>
          </w:p>
        </w:tc>
        <w:tc>
          <w:tcPr>
            <w:tcW w:w="709" w:type="dxa"/>
            <w:vAlign w:val="center"/>
          </w:tcPr>
          <w:p>
            <w:pPr>
              <w:autoSpaceDN w:val="0"/>
              <w:jc w:val="center"/>
              <w:textAlignment w:val="center"/>
              <w:rPr>
                <w:rFonts w:asciiTheme="minorEastAsia" w:hAnsiTheme="minorEastAsia"/>
                <w:szCs w:val="21"/>
              </w:rPr>
            </w:pPr>
            <w:r>
              <w:rPr>
                <w:rFonts w:hint="eastAsia" w:asciiTheme="minorEastAsia" w:hAnsiTheme="minorEastAsia"/>
                <w:szCs w:val="21"/>
              </w:rPr>
              <w:t>报录比</w:t>
            </w:r>
          </w:p>
        </w:tc>
        <w:tc>
          <w:tcPr>
            <w:tcW w:w="462" w:type="dxa"/>
            <w:vAlign w:val="center"/>
          </w:tcPr>
          <w:p>
            <w:pPr>
              <w:autoSpaceDN w:val="0"/>
              <w:jc w:val="center"/>
              <w:textAlignment w:val="center"/>
              <w:rPr>
                <w:rFonts w:asciiTheme="minorEastAsia" w:hAnsiTheme="minorEastAsia"/>
                <w:szCs w:val="21"/>
              </w:rPr>
            </w:pPr>
            <w:r>
              <w:rPr>
                <w:rFonts w:asciiTheme="minorEastAsia" w:hAnsiTheme="minorEastAsia"/>
                <w:szCs w:val="21"/>
              </w:rPr>
              <w:t>5%</w:t>
            </w:r>
          </w:p>
        </w:tc>
        <w:tc>
          <w:tcPr>
            <w:tcW w:w="3365" w:type="dxa"/>
            <w:vAlign w:val="center"/>
          </w:tcPr>
          <w:p>
            <w:pPr>
              <w:autoSpaceDN w:val="0"/>
              <w:jc w:val="left"/>
              <w:textAlignment w:val="center"/>
              <w:rPr>
                <w:rFonts w:asciiTheme="minorEastAsia" w:hAnsiTheme="minorEastAsia"/>
                <w:szCs w:val="21"/>
              </w:rPr>
            </w:pPr>
            <w:r>
              <w:rPr>
                <w:rFonts w:hint="eastAsia" w:asciiTheme="minorEastAsia" w:hAnsiTheme="minorEastAsia"/>
                <w:szCs w:val="21"/>
              </w:rPr>
              <w:t>近三年招生报录比</w:t>
            </w:r>
          </w:p>
        </w:tc>
        <w:tc>
          <w:tcPr>
            <w:tcW w:w="2127" w:type="dxa"/>
            <w:vAlign w:val="center"/>
          </w:tcPr>
          <w:p>
            <w:pPr>
              <w:autoSpaceDN w:val="0"/>
              <w:textAlignment w:val="center"/>
              <w:rPr>
                <w:rFonts w:asciiTheme="minorEastAsia" w:hAnsiTheme="minorEastAsia"/>
                <w:szCs w:val="21"/>
              </w:rPr>
            </w:pPr>
            <w:r>
              <w:rPr>
                <w:rFonts w:hint="eastAsia" w:asciiTheme="minorEastAsia" w:hAnsiTheme="minorEastAsia"/>
                <w:szCs w:val="21"/>
              </w:rPr>
              <w:t>不低于3:1</w:t>
            </w:r>
          </w:p>
        </w:tc>
        <w:tc>
          <w:tcPr>
            <w:tcW w:w="1984" w:type="dxa"/>
            <w:vAlign w:val="center"/>
          </w:tcPr>
          <w:p>
            <w:pPr>
              <w:autoSpaceDN w:val="0"/>
              <w:textAlignment w:val="center"/>
              <w:rPr>
                <w:rFonts w:asciiTheme="minorEastAsia" w:hAnsiTheme="minorEastAsia"/>
                <w:szCs w:val="21"/>
              </w:rPr>
            </w:pPr>
            <w:r>
              <w:rPr>
                <w:rFonts w:hint="eastAsia" w:asciiTheme="minorEastAsia" w:hAnsiTheme="minorEastAsia"/>
                <w:szCs w:val="21"/>
              </w:rPr>
              <w:t>不低于2:1</w:t>
            </w:r>
          </w:p>
        </w:tc>
        <w:tc>
          <w:tcPr>
            <w:tcW w:w="1985" w:type="dxa"/>
            <w:vAlign w:val="center"/>
          </w:tcPr>
          <w:p>
            <w:pPr>
              <w:autoSpaceDN w:val="0"/>
              <w:textAlignment w:val="center"/>
              <w:rPr>
                <w:rFonts w:asciiTheme="minorEastAsia" w:hAnsiTheme="minorEastAsia"/>
                <w:szCs w:val="21"/>
              </w:rPr>
            </w:pPr>
            <w:r>
              <w:rPr>
                <w:rFonts w:hint="eastAsia" w:asciiTheme="minorEastAsia" w:hAnsiTheme="minorEastAsia"/>
                <w:szCs w:val="21"/>
              </w:rPr>
              <w:t>不低于1:1</w:t>
            </w:r>
          </w:p>
        </w:tc>
        <w:tc>
          <w:tcPr>
            <w:tcW w:w="1984" w:type="dxa"/>
            <w:vAlign w:val="center"/>
          </w:tcPr>
          <w:p>
            <w:pPr>
              <w:autoSpaceDN w:val="0"/>
              <w:textAlignment w:val="center"/>
              <w:rPr>
                <w:rFonts w:asciiTheme="minorEastAsia" w:hAnsiTheme="minorEastAsia"/>
                <w:szCs w:val="21"/>
              </w:rPr>
            </w:pPr>
            <w:r>
              <w:rPr>
                <w:rFonts w:hint="eastAsia" w:asciiTheme="minorEastAsia" w:hAnsiTheme="minorEastAsia"/>
                <w:szCs w:val="21"/>
              </w:rPr>
              <w:t>低于1:1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018" w:hRule="atLeast"/>
        </w:trPr>
        <w:tc>
          <w:tcPr>
            <w:tcW w:w="582" w:type="dxa"/>
            <w:vMerge w:val="continue"/>
            <w:vAlign w:val="center"/>
          </w:tcPr>
          <w:p>
            <w:pPr>
              <w:rPr>
                <w:rFonts w:asciiTheme="minorEastAsia" w:hAnsiTheme="minorEastAsia"/>
                <w:color w:val="000000"/>
                <w:szCs w:val="21"/>
              </w:rPr>
            </w:pPr>
          </w:p>
        </w:tc>
        <w:tc>
          <w:tcPr>
            <w:tcW w:w="567" w:type="dxa"/>
            <w:vMerge w:val="restart"/>
            <w:vAlign w:val="center"/>
          </w:tcPr>
          <w:p>
            <w:pPr>
              <w:autoSpaceDN w:val="0"/>
              <w:jc w:val="center"/>
              <w:textAlignment w:val="center"/>
              <w:rPr>
                <w:rFonts w:asciiTheme="minorEastAsia" w:hAnsiTheme="minorEastAsia"/>
                <w:color w:val="000000"/>
                <w:szCs w:val="21"/>
              </w:rPr>
            </w:pPr>
            <w:r>
              <w:rPr>
                <w:rFonts w:hint="eastAsia" w:asciiTheme="minorEastAsia" w:hAnsiTheme="minorEastAsia"/>
                <w:color w:val="000000"/>
                <w:szCs w:val="21"/>
              </w:rPr>
              <w:t>教学质量</w:t>
            </w:r>
          </w:p>
        </w:tc>
        <w:tc>
          <w:tcPr>
            <w:tcW w:w="709"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培养方案</w:t>
            </w:r>
          </w:p>
        </w:tc>
        <w:tc>
          <w:tcPr>
            <w:tcW w:w="462"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7%</w:t>
            </w:r>
          </w:p>
        </w:tc>
        <w:tc>
          <w:tcPr>
            <w:tcW w:w="3365"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以教授学生</w:t>
            </w:r>
            <w:r>
              <w:rPr>
                <w:rFonts w:hint="eastAsia" w:asciiTheme="minorEastAsia" w:hAnsiTheme="minorEastAsia"/>
                <w:color w:val="000000"/>
                <w:szCs w:val="21"/>
              </w:rPr>
              <w:t>统计</w:t>
            </w:r>
            <w:r>
              <w:rPr>
                <w:rFonts w:asciiTheme="minorEastAsia" w:hAnsiTheme="minorEastAsia"/>
                <w:color w:val="000000"/>
                <w:szCs w:val="21"/>
              </w:rPr>
              <w:t>实际工作和理论研究所需的专业知识、研究方法和研究工具为目标，必修课和专业限选课按专业口径设置而不分具体方向，专业选修课更多体现学科方向，供学生根据兴趣和需要自主选择。</w:t>
            </w:r>
          </w:p>
        </w:tc>
        <w:tc>
          <w:tcPr>
            <w:tcW w:w="2127"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培养方案设定完善，课程安排符合</w:t>
            </w:r>
            <w:r>
              <w:rPr>
                <w:rFonts w:hint="eastAsia" w:asciiTheme="minorEastAsia" w:hAnsiTheme="minorEastAsia"/>
                <w:color w:val="000000"/>
                <w:szCs w:val="21"/>
              </w:rPr>
              <w:t>MAS培养</w:t>
            </w:r>
            <w:r>
              <w:rPr>
                <w:rFonts w:asciiTheme="minorEastAsia" w:hAnsiTheme="minorEastAsia"/>
                <w:color w:val="000000"/>
                <w:szCs w:val="21"/>
              </w:rPr>
              <w:t>初衷及学院未来就业需要</w:t>
            </w:r>
          </w:p>
        </w:tc>
        <w:tc>
          <w:tcPr>
            <w:tcW w:w="1984"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培养方案及课程安排情况良好，一定程度上能够满足</w:t>
            </w:r>
            <w:r>
              <w:rPr>
                <w:rFonts w:hint="eastAsia" w:asciiTheme="minorEastAsia" w:hAnsiTheme="minorEastAsia"/>
                <w:color w:val="000000"/>
                <w:szCs w:val="21"/>
              </w:rPr>
              <w:t>MAS培养</w:t>
            </w:r>
            <w:r>
              <w:rPr>
                <w:rFonts w:asciiTheme="minorEastAsia" w:hAnsiTheme="minorEastAsia"/>
                <w:color w:val="000000"/>
                <w:szCs w:val="21"/>
              </w:rPr>
              <w:t>初衷及学院未来就业需要</w:t>
            </w:r>
          </w:p>
        </w:tc>
        <w:tc>
          <w:tcPr>
            <w:tcW w:w="1985"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培养方案及课程安排情况较合理，但尚存需要完善之处</w:t>
            </w:r>
          </w:p>
        </w:tc>
        <w:tc>
          <w:tcPr>
            <w:tcW w:w="1984"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相关工作存在较多问题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2483" w:hRule="atLeast"/>
        </w:trPr>
        <w:tc>
          <w:tcPr>
            <w:tcW w:w="582" w:type="dxa"/>
            <w:vMerge w:val="continue"/>
            <w:vAlign w:val="center"/>
          </w:tcPr>
          <w:p>
            <w:pPr>
              <w:rPr>
                <w:rFonts w:asciiTheme="minorEastAsia" w:hAnsiTheme="minorEastAsia"/>
                <w:color w:val="000000"/>
                <w:szCs w:val="21"/>
              </w:rPr>
            </w:pPr>
          </w:p>
        </w:tc>
        <w:tc>
          <w:tcPr>
            <w:tcW w:w="567" w:type="dxa"/>
            <w:vMerge w:val="continue"/>
            <w:vAlign w:val="center"/>
          </w:tcPr>
          <w:p>
            <w:pPr>
              <w:autoSpaceDN w:val="0"/>
              <w:jc w:val="center"/>
              <w:textAlignment w:val="center"/>
              <w:rPr>
                <w:rFonts w:asciiTheme="minorEastAsia" w:hAnsiTheme="minorEastAsia"/>
                <w:color w:val="000000"/>
                <w:szCs w:val="21"/>
              </w:rPr>
            </w:pPr>
          </w:p>
        </w:tc>
        <w:tc>
          <w:tcPr>
            <w:tcW w:w="709"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教学内容</w:t>
            </w:r>
          </w:p>
        </w:tc>
        <w:tc>
          <w:tcPr>
            <w:tcW w:w="462"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8%</w:t>
            </w:r>
          </w:p>
        </w:tc>
        <w:tc>
          <w:tcPr>
            <w:tcW w:w="3365"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课程教学大纲编写规范，并及时发给学生；课程教学目标体现应用统计专业硕士培养目标的要求，课程内容支持教学目标；课件完备，教材适用。</w:t>
            </w:r>
          </w:p>
        </w:tc>
        <w:tc>
          <w:tcPr>
            <w:tcW w:w="2127" w:type="dxa"/>
            <w:vAlign w:val="center"/>
          </w:tcPr>
          <w:p>
            <w:pPr>
              <w:autoSpaceDN w:val="0"/>
              <w:jc w:val="left"/>
              <w:textAlignment w:val="center"/>
              <w:rPr>
                <w:rFonts w:asciiTheme="minorEastAsia" w:hAnsiTheme="minorEastAsia"/>
                <w:color w:val="000000"/>
                <w:szCs w:val="21"/>
              </w:rPr>
            </w:pPr>
            <w:r>
              <w:rPr>
                <w:rFonts w:asciiTheme="minorEastAsia" w:hAnsiTheme="minorEastAsia"/>
                <w:color w:val="000000"/>
                <w:szCs w:val="21"/>
              </w:rPr>
              <w:t>教学目标明确，符合市场需求，体现工作岗位要求；课程内容以问题为导向，有别于</w:t>
            </w:r>
            <w:r>
              <w:rPr>
                <w:rFonts w:hint="eastAsia" w:asciiTheme="minorEastAsia" w:hAnsiTheme="minorEastAsia"/>
                <w:color w:val="000000"/>
                <w:szCs w:val="21"/>
              </w:rPr>
              <w:t>学</w:t>
            </w:r>
            <w:r>
              <w:rPr>
                <w:rFonts w:asciiTheme="minorEastAsia" w:hAnsiTheme="minorEastAsia"/>
                <w:color w:val="000000"/>
                <w:szCs w:val="21"/>
              </w:rPr>
              <w:t xml:space="preserve">硕理论导向；作业实践意义强，有老师负责批改；试卷难度适中，注重考查解决问题的能力 </w:t>
            </w:r>
          </w:p>
        </w:tc>
        <w:tc>
          <w:tcPr>
            <w:tcW w:w="1984" w:type="dxa"/>
            <w:vAlign w:val="center"/>
          </w:tcPr>
          <w:p>
            <w:pPr>
              <w:autoSpaceDN w:val="0"/>
              <w:jc w:val="left"/>
              <w:textAlignment w:val="center"/>
              <w:rPr>
                <w:rFonts w:asciiTheme="minorEastAsia" w:hAnsiTheme="minorEastAsia"/>
                <w:color w:val="000000"/>
                <w:szCs w:val="21"/>
              </w:rPr>
            </w:pPr>
            <w:r>
              <w:rPr>
                <w:rFonts w:asciiTheme="minorEastAsia" w:hAnsiTheme="minorEastAsia"/>
                <w:color w:val="000000"/>
                <w:szCs w:val="21"/>
              </w:rPr>
              <w:t>教学目标在一定程度上满足工作岗位实际需要；课程内容、作业和考试能够突出MAS教学宗旨</w:t>
            </w:r>
          </w:p>
        </w:tc>
        <w:tc>
          <w:tcPr>
            <w:tcW w:w="1985" w:type="dxa"/>
            <w:vAlign w:val="center"/>
          </w:tcPr>
          <w:p>
            <w:pPr>
              <w:autoSpaceDN w:val="0"/>
              <w:jc w:val="left"/>
              <w:textAlignment w:val="center"/>
              <w:rPr>
                <w:rFonts w:asciiTheme="minorEastAsia" w:hAnsiTheme="minorEastAsia"/>
                <w:color w:val="000000"/>
                <w:szCs w:val="21"/>
              </w:rPr>
            </w:pPr>
            <w:r>
              <w:rPr>
                <w:rFonts w:asciiTheme="minorEastAsia" w:hAnsiTheme="minorEastAsia"/>
                <w:color w:val="000000"/>
                <w:szCs w:val="21"/>
              </w:rPr>
              <w:t>教学目标的设定上主要到了与未来工作的接轨，但在具体教学流程的涉及上存在众多问题</w:t>
            </w:r>
          </w:p>
        </w:tc>
        <w:tc>
          <w:tcPr>
            <w:tcW w:w="1984"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课程质量较差，无法突出MAS</w:t>
            </w:r>
            <w:r>
              <w:rPr>
                <w:rFonts w:hint="eastAsia" w:asciiTheme="minorEastAsia" w:hAnsiTheme="minorEastAsia"/>
                <w:color w:val="000000"/>
                <w:szCs w:val="21"/>
              </w:rPr>
              <w:t>培养</w:t>
            </w:r>
            <w:r>
              <w:rPr>
                <w:rFonts w:asciiTheme="minorEastAsia" w:hAnsiTheme="minorEastAsia"/>
                <w:color w:val="000000"/>
                <w:szCs w:val="21"/>
              </w:rPr>
              <w:t>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1382" w:hRule="atLeast"/>
        </w:trPr>
        <w:tc>
          <w:tcPr>
            <w:tcW w:w="582" w:type="dxa"/>
            <w:vMerge w:val="continue"/>
            <w:vAlign w:val="center"/>
          </w:tcPr>
          <w:p>
            <w:pPr>
              <w:rPr>
                <w:rFonts w:asciiTheme="minorEastAsia" w:hAnsiTheme="minorEastAsia"/>
                <w:color w:val="000000"/>
                <w:szCs w:val="21"/>
              </w:rPr>
            </w:pPr>
          </w:p>
        </w:tc>
        <w:tc>
          <w:tcPr>
            <w:tcW w:w="567" w:type="dxa"/>
            <w:vMerge w:val="continue"/>
            <w:vAlign w:val="center"/>
          </w:tcPr>
          <w:p>
            <w:pPr>
              <w:autoSpaceDN w:val="0"/>
              <w:jc w:val="center"/>
              <w:textAlignment w:val="center"/>
              <w:rPr>
                <w:rFonts w:asciiTheme="minorEastAsia" w:hAnsiTheme="minorEastAsia"/>
                <w:color w:val="000000"/>
                <w:szCs w:val="21"/>
              </w:rPr>
            </w:pPr>
          </w:p>
        </w:tc>
        <w:tc>
          <w:tcPr>
            <w:tcW w:w="709"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教学方法</w:t>
            </w:r>
          </w:p>
        </w:tc>
        <w:tc>
          <w:tcPr>
            <w:tcW w:w="462"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5%</w:t>
            </w:r>
          </w:p>
        </w:tc>
        <w:tc>
          <w:tcPr>
            <w:tcW w:w="3365"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在课程教学上注重所学工具在实际案例中的应用，给学生创造足够的实习继续</w:t>
            </w:r>
          </w:p>
        </w:tc>
        <w:tc>
          <w:tcPr>
            <w:tcW w:w="2127"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善于采用案例分析等教学手段，为学生联系实习单位、推荐实习</w:t>
            </w:r>
          </w:p>
        </w:tc>
        <w:tc>
          <w:tcPr>
            <w:tcW w:w="1984"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在相关教学方式的运用上具有一定的经验，能够为学生提供一定的实习信息与机会</w:t>
            </w:r>
          </w:p>
        </w:tc>
        <w:tc>
          <w:tcPr>
            <w:tcW w:w="1985"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开展相关教学方式，鼓励学生利用假期积极参与实习活动</w:t>
            </w:r>
          </w:p>
        </w:tc>
        <w:tc>
          <w:tcPr>
            <w:tcW w:w="1984"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未开展相关工作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1392" w:hRule="atLeast"/>
        </w:trPr>
        <w:tc>
          <w:tcPr>
            <w:tcW w:w="582" w:type="dxa"/>
            <w:vMerge w:val="continue"/>
            <w:vAlign w:val="center"/>
          </w:tcPr>
          <w:p>
            <w:pPr>
              <w:rPr>
                <w:rFonts w:asciiTheme="minorEastAsia" w:hAnsiTheme="minorEastAsia"/>
                <w:color w:val="000000"/>
                <w:szCs w:val="21"/>
              </w:rPr>
            </w:pPr>
          </w:p>
        </w:tc>
        <w:tc>
          <w:tcPr>
            <w:tcW w:w="567" w:type="dxa"/>
            <w:vMerge w:val="continue"/>
            <w:vAlign w:val="center"/>
          </w:tcPr>
          <w:p>
            <w:pPr>
              <w:autoSpaceDN w:val="0"/>
              <w:jc w:val="center"/>
              <w:textAlignment w:val="center"/>
              <w:rPr>
                <w:rFonts w:asciiTheme="minorEastAsia" w:hAnsiTheme="minorEastAsia"/>
                <w:color w:val="000000"/>
                <w:szCs w:val="21"/>
              </w:rPr>
            </w:pPr>
          </w:p>
        </w:tc>
        <w:tc>
          <w:tcPr>
            <w:tcW w:w="709"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就业</w:t>
            </w:r>
            <w:r>
              <w:rPr>
                <w:rFonts w:hint="eastAsia" w:asciiTheme="minorEastAsia" w:hAnsiTheme="minorEastAsia"/>
                <w:color w:val="000000"/>
                <w:szCs w:val="21"/>
              </w:rPr>
              <w:t>发展</w:t>
            </w:r>
          </w:p>
        </w:tc>
        <w:tc>
          <w:tcPr>
            <w:tcW w:w="462" w:type="dxa"/>
            <w:vAlign w:val="center"/>
          </w:tcPr>
          <w:p>
            <w:pPr>
              <w:autoSpaceDN w:val="0"/>
              <w:jc w:val="center"/>
              <w:textAlignment w:val="center"/>
              <w:rPr>
                <w:rFonts w:asciiTheme="minorEastAsia" w:hAnsiTheme="minorEastAsia"/>
                <w:szCs w:val="21"/>
              </w:rPr>
            </w:pPr>
            <w:r>
              <w:rPr>
                <w:rFonts w:asciiTheme="minorEastAsia" w:hAnsiTheme="minorEastAsia"/>
                <w:szCs w:val="21"/>
              </w:rPr>
              <w:t>5%</w:t>
            </w:r>
          </w:p>
        </w:tc>
        <w:tc>
          <w:tcPr>
            <w:tcW w:w="3365" w:type="dxa"/>
            <w:vAlign w:val="center"/>
          </w:tcPr>
          <w:p>
            <w:pPr>
              <w:autoSpaceDN w:val="0"/>
              <w:textAlignment w:val="center"/>
              <w:rPr>
                <w:rFonts w:asciiTheme="minorEastAsia" w:hAnsiTheme="minorEastAsia"/>
                <w:szCs w:val="21"/>
              </w:rPr>
            </w:pPr>
            <w:r>
              <w:rPr>
                <w:rFonts w:asciiTheme="minorEastAsia" w:hAnsiTheme="minorEastAsia"/>
                <w:szCs w:val="21"/>
              </w:rPr>
              <w:t>开展就业指导、职业规划相关讲座，邀请业界专家与学生进行面对面交流交流</w:t>
            </w:r>
          </w:p>
        </w:tc>
        <w:tc>
          <w:tcPr>
            <w:tcW w:w="2127" w:type="dxa"/>
            <w:vAlign w:val="center"/>
          </w:tcPr>
          <w:p>
            <w:pPr>
              <w:autoSpaceDN w:val="0"/>
              <w:jc w:val="left"/>
              <w:textAlignment w:val="center"/>
              <w:rPr>
                <w:rFonts w:asciiTheme="minorEastAsia" w:hAnsiTheme="minorEastAsia"/>
                <w:szCs w:val="21"/>
              </w:rPr>
            </w:pPr>
            <w:r>
              <w:rPr>
                <w:rFonts w:asciiTheme="minorEastAsia" w:hAnsiTheme="minorEastAsia"/>
                <w:szCs w:val="21"/>
              </w:rPr>
              <w:t>重视并经常举办这方面的活动，并取得了很好的效果</w:t>
            </w:r>
          </w:p>
        </w:tc>
        <w:tc>
          <w:tcPr>
            <w:tcW w:w="1984" w:type="dxa"/>
            <w:vAlign w:val="center"/>
          </w:tcPr>
          <w:p>
            <w:pPr>
              <w:autoSpaceDN w:val="0"/>
              <w:textAlignment w:val="center"/>
              <w:rPr>
                <w:rFonts w:asciiTheme="minorEastAsia" w:hAnsiTheme="minorEastAsia"/>
                <w:szCs w:val="21"/>
              </w:rPr>
            </w:pPr>
            <w:r>
              <w:rPr>
                <w:rFonts w:asciiTheme="minorEastAsia" w:hAnsiTheme="minorEastAsia"/>
                <w:szCs w:val="21"/>
              </w:rPr>
              <w:t>有开展相关工作，有一定的成效</w:t>
            </w:r>
          </w:p>
        </w:tc>
        <w:tc>
          <w:tcPr>
            <w:tcW w:w="1985" w:type="dxa"/>
            <w:vAlign w:val="center"/>
          </w:tcPr>
          <w:p>
            <w:pPr>
              <w:autoSpaceDN w:val="0"/>
              <w:textAlignment w:val="center"/>
              <w:rPr>
                <w:rFonts w:asciiTheme="minorEastAsia" w:hAnsiTheme="minorEastAsia"/>
                <w:szCs w:val="21"/>
              </w:rPr>
            </w:pPr>
            <w:r>
              <w:rPr>
                <w:rFonts w:asciiTheme="minorEastAsia" w:hAnsiTheme="minorEastAsia"/>
                <w:szCs w:val="21"/>
              </w:rPr>
              <w:t>很少开展相关工作</w:t>
            </w:r>
          </w:p>
        </w:tc>
        <w:tc>
          <w:tcPr>
            <w:tcW w:w="1984" w:type="dxa"/>
            <w:vAlign w:val="center"/>
          </w:tcPr>
          <w:p>
            <w:pPr>
              <w:autoSpaceDN w:val="0"/>
              <w:jc w:val="center"/>
              <w:textAlignment w:val="center"/>
              <w:rPr>
                <w:rFonts w:asciiTheme="minorEastAsia" w:hAnsiTheme="minorEastAsia"/>
                <w:szCs w:val="21"/>
              </w:rPr>
            </w:pPr>
            <w:r>
              <w:rPr>
                <w:rFonts w:asciiTheme="minorEastAsia" w:hAnsiTheme="minorEastAsia"/>
                <w:szCs w:val="21"/>
              </w:rPr>
              <w:t>无相关工作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1392" w:hRule="atLeast"/>
        </w:trPr>
        <w:tc>
          <w:tcPr>
            <w:tcW w:w="582" w:type="dxa"/>
            <w:vMerge w:val="continue"/>
            <w:vAlign w:val="center"/>
          </w:tcPr>
          <w:p>
            <w:pPr>
              <w:rPr>
                <w:rFonts w:asciiTheme="minorEastAsia" w:hAnsiTheme="minorEastAsia"/>
                <w:color w:val="000000"/>
                <w:szCs w:val="21"/>
              </w:rPr>
            </w:pPr>
          </w:p>
        </w:tc>
        <w:tc>
          <w:tcPr>
            <w:tcW w:w="567" w:type="dxa"/>
            <w:vMerge w:val="restart"/>
            <w:vAlign w:val="center"/>
          </w:tcPr>
          <w:p>
            <w:pPr>
              <w:autoSpaceDN w:val="0"/>
              <w:jc w:val="center"/>
              <w:textAlignment w:val="center"/>
              <w:rPr>
                <w:rFonts w:asciiTheme="minorEastAsia" w:hAnsiTheme="minorEastAsia"/>
                <w:color w:val="000000"/>
                <w:szCs w:val="21"/>
              </w:rPr>
            </w:pPr>
            <w:r>
              <w:rPr>
                <w:rFonts w:hint="eastAsia" w:asciiTheme="minorEastAsia" w:hAnsiTheme="minorEastAsia"/>
                <w:color w:val="000000"/>
                <w:szCs w:val="21"/>
              </w:rPr>
              <w:t>教学管理</w:t>
            </w:r>
          </w:p>
        </w:tc>
        <w:tc>
          <w:tcPr>
            <w:tcW w:w="709"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制度建设及档案管理</w:t>
            </w:r>
          </w:p>
        </w:tc>
        <w:tc>
          <w:tcPr>
            <w:tcW w:w="462"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6%</w:t>
            </w:r>
          </w:p>
        </w:tc>
        <w:tc>
          <w:tcPr>
            <w:tcW w:w="3365"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教学管理制度建设情况以及教学档案的管理情况</w:t>
            </w:r>
          </w:p>
        </w:tc>
        <w:tc>
          <w:tcPr>
            <w:tcW w:w="2127"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M</w:t>
            </w:r>
            <w:r>
              <w:rPr>
                <w:rFonts w:hint="eastAsia" w:asciiTheme="minorEastAsia" w:hAnsiTheme="minorEastAsia"/>
                <w:color w:val="000000"/>
                <w:szCs w:val="21"/>
              </w:rPr>
              <w:t>AS</w:t>
            </w:r>
            <w:r>
              <w:rPr>
                <w:rFonts w:asciiTheme="minorEastAsia" w:hAnsiTheme="minorEastAsia"/>
                <w:color w:val="000000"/>
                <w:szCs w:val="21"/>
              </w:rPr>
              <w:t>教学管理制度完备并被严格执行。近3年的教学文档齐备有序</w:t>
            </w:r>
          </w:p>
        </w:tc>
        <w:tc>
          <w:tcPr>
            <w:tcW w:w="1984"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M</w:t>
            </w:r>
            <w:r>
              <w:rPr>
                <w:rFonts w:hint="eastAsia" w:asciiTheme="minorEastAsia" w:hAnsiTheme="minorEastAsia"/>
                <w:color w:val="000000"/>
                <w:szCs w:val="21"/>
              </w:rPr>
              <w:t>AS</w:t>
            </w:r>
            <w:r>
              <w:rPr>
                <w:rFonts w:asciiTheme="minorEastAsia" w:hAnsiTheme="minorEastAsia"/>
                <w:color w:val="000000"/>
                <w:szCs w:val="21"/>
              </w:rPr>
              <w:t>教学管理制度基本完备并得到全面执行，但执行中有不严格之处，近3年的教学文档基本齐备</w:t>
            </w:r>
          </w:p>
        </w:tc>
        <w:tc>
          <w:tcPr>
            <w:tcW w:w="1985"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M</w:t>
            </w:r>
            <w:r>
              <w:rPr>
                <w:rFonts w:hint="eastAsia" w:asciiTheme="minorEastAsia" w:hAnsiTheme="minorEastAsia"/>
                <w:color w:val="000000"/>
                <w:szCs w:val="21"/>
              </w:rPr>
              <w:t>AS</w:t>
            </w:r>
            <w:r>
              <w:rPr>
                <w:rFonts w:asciiTheme="minorEastAsia" w:hAnsiTheme="minorEastAsia"/>
                <w:color w:val="000000"/>
                <w:szCs w:val="21"/>
              </w:rPr>
              <w:t>教学管理制度基本完备，但未被全面执行或执行中有较大漏洞，近三年内的大部分教学文档齐备</w:t>
            </w:r>
          </w:p>
        </w:tc>
        <w:tc>
          <w:tcPr>
            <w:tcW w:w="1984"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大部分M</w:t>
            </w:r>
            <w:r>
              <w:rPr>
                <w:rFonts w:hint="eastAsia" w:asciiTheme="minorEastAsia" w:hAnsiTheme="minorEastAsia"/>
                <w:color w:val="000000"/>
                <w:szCs w:val="21"/>
              </w:rPr>
              <w:t>AS</w:t>
            </w:r>
            <w:r>
              <w:rPr>
                <w:rFonts w:asciiTheme="minorEastAsia" w:hAnsiTheme="minorEastAsia"/>
                <w:color w:val="000000"/>
                <w:szCs w:val="21"/>
              </w:rPr>
              <w:t>教学管理制度未建立或未被实际执行，近3年内的教学文档不齐备或有不真实之处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1860" w:hRule="atLeast"/>
        </w:trPr>
        <w:tc>
          <w:tcPr>
            <w:tcW w:w="582" w:type="dxa"/>
            <w:vMerge w:val="continue"/>
            <w:vAlign w:val="center"/>
          </w:tcPr>
          <w:p>
            <w:pPr>
              <w:rPr>
                <w:rFonts w:asciiTheme="minorEastAsia" w:hAnsiTheme="minorEastAsia"/>
                <w:color w:val="000000"/>
                <w:szCs w:val="21"/>
              </w:rPr>
            </w:pPr>
          </w:p>
        </w:tc>
        <w:tc>
          <w:tcPr>
            <w:tcW w:w="567" w:type="dxa"/>
            <w:vMerge w:val="continue"/>
            <w:vAlign w:val="center"/>
          </w:tcPr>
          <w:p>
            <w:pPr>
              <w:autoSpaceDN w:val="0"/>
              <w:jc w:val="center"/>
              <w:textAlignment w:val="center"/>
              <w:rPr>
                <w:rFonts w:asciiTheme="minorEastAsia" w:hAnsiTheme="minorEastAsia"/>
                <w:color w:val="000000"/>
                <w:szCs w:val="21"/>
              </w:rPr>
            </w:pPr>
          </w:p>
        </w:tc>
        <w:tc>
          <w:tcPr>
            <w:tcW w:w="709"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教学评估系统</w:t>
            </w:r>
          </w:p>
        </w:tc>
        <w:tc>
          <w:tcPr>
            <w:tcW w:w="462" w:type="dxa"/>
            <w:vAlign w:val="center"/>
          </w:tcPr>
          <w:p>
            <w:pPr>
              <w:autoSpaceDN w:val="0"/>
              <w:jc w:val="center"/>
              <w:textAlignment w:val="center"/>
              <w:rPr>
                <w:rFonts w:asciiTheme="minorEastAsia" w:hAnsiTheme="minorEastAsia"/>
                <w:szCs w:val="21"/>
              </w:rPr>
            </w:pPr>
            <w:r>
              <w:rPr>
                <w:rFonts w:asciiTheme="minorEastAsia" w:hAnsiTheme="minorEastAsia"/>
                <w:szCs w:val="21"/>
              </w:rPr>
              <w:t>6%</w:t>
            </w:r>
          </w:p>
        </w:tc>
        <w:tc>
          <w:tcPr>
            <w:tcW w:w="3365" w:type="dxa"/>
            <w:vAlign w:val="center"/>
          </w:tcPr>
          <w:p>
            <w:pPr>
              <w:autoSpaceDN w:val="0"/>
              <w:textAlignment w:val="center"/>
              <w:rPr>
                <w:rFonts w:asciiTheme="minorEastAsia" w:hAnsiTheme="minorEastAsia"/>
                <w:szCs w:val="21"/>
              </w:rPr>
            </w:pPr>
            <w:r>
              <w:rPr>
                <w:rFonts w:asciiTheme="minorEastAsia" w:hAnsiTheme="minorEastAsia"/>
                <w:szCs w:val="21"/>
              </w:rPr>
              <w:t>有良好的教学评估系统和任课教师选用、评价机制</w:t>
            </w:r>
          </w:p>
        </w:tc>
        <w:tc>
          <w:tcPr>
            <w:tcW w:w="2127" w:type="dxa"/>
            <w:vAlign w:val="center"/>
          </w:tcPr>
          <w:p>
            <w:pPr>
              <w:autoSpaceDN w:val="0"/>
              <w:jc w:val="left"/>
              <w:textAlignment w:val="center"/>
              <w:rPr>
                <w:rFonts w:asciiTheme="minorEastAsia" w:hAnsiTheme="minorEastAsia"/>
                <w:szCs w:val="21"/>
              </w:rPr>
            </w:pPr>
            <w:r>
              <w:rPr>
                <w:rFonts w:asciiTheme="minorEastAsia" w:hAnsiTheme="minorEastAsia"/>
                <w:szCs w:val="21"/>
              </w:rPr>
              <w:t>教学评估系统完善，能全面统计学生的反馈及意见，并能根据评估结果严格执行任课教师的选用</w:t>
            </w:r>
          </w:p>
        </w:tc>
        <w:tc>
          <w:tcPr>
            <w:tcW w:w="1984" w:type="dxa"/>
            <w:vAlign w:val="center"/>
          </w:tcPr>
          <w:p>
            <w:pPr>
              <w:autoSpaceDN w:val="0"/>
              <w:textAlignment w:val="center"/>
              <w:rPr>
                <w:rFonts w:asciiTheme="minorEastAsia" w:hAnsiTheme="minorEastAsia"/>
                <w:szCs w:val="21"/>
              </w:rPr>
            </w:pPr>
            <w:r>
              <w:rPr>
                <w:rFonts w:asciiTheme="minorEastAsia" w:hAnsiTheme="minorEastAsia"/>
                <w:szCs w:val="21"/>
              </w:rPr>
              <w:t>教学评估系统在一定程度上收集学院的反馈和意见，评估结果对决策有一定影响</w:t>
            </w:r>
          </w:p>
        </w:tc>
        <w:tc>
          <w:tcPr>
            <w:tcW w:w="1985" w:type="dxa"/>
            <w:vAlign w:val="center"/>
          </w:tcPr>
          <w:p>
            <w:pPr>
              <w:autoSpaceDN w:val="0"/>
              <w:textAlignment w:val="center"/>
              <w:rPr>
                <w:rFonts w:asciiTheme="minorEastAsia" w:hAnsiTheme="minorEastAsia"/>
                <w:szCs w:val="21"/>
              </w:rPr>
            </w:pPr>
            <w:r>
              <w:rPr>
                <w:rFonts w:asciiTheme="minorEastAsia" w:hAnsiTheme="minorEastAsia"/>
                <w:szCs w:val="21"/>
              </w:rPr>
              <w:t>有相关教学评估系统，但覆盖面有限，对教师选用的影响有限，尚待建设与完善</w:t>
            </w:r>
          </w:p>
        </w:tc>
        <w:tc>
          <w:tcPr>
            <w:tcW w:w="1984" w:type="dxa"/>
            <w:vAlign w:val="center"/>
          </w:tcPr>
          <w:p>
            <w:pPr>
              <w:autoSpaceDN w:val="0"/>
              <w:jc w:val="center"/>
              <w:textAlignment w:val="center"/>
              <w:rPr>
                <w:rFonts w:asciiTheme="minorEastAsia" w:hAnsiTheme="minorEastAsia"/>
                <w:szCs w:val="21"/>
              </w:rPr>
            </w:pPr>
            <w:r>
              <w:rPr>
                <w:rFonts w:asciiTheme="minorEastAsia" w:hAnsiTheme="minorEastAsia"/>
                <w:szCs w:val="21"/>
              </w:rPr>
              <w:t>无相关系统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924" w:hRule="atLeast"/>
        </w:trPr>
        <w:tc>
          <w:tcPr>
            <w:tcW w:w="582" w:type="dxa"/>
            <w:vMerge w:val="continue"/>
            <w:vAlign w:val="center"/>
          </w:tcPr>
          <w:p>
            <w:pPr>
              <w:rPr>
                <w:rFonts w:asciiTheme="minorEastAsia" w:hAnsiTheme="minorEastAsia"/>
                <w:color w:val="000000"/>
                <w:szCs w:val="21"/>
              </w:rPr>
            </w:pPr>
          </w:p>
        </w:tc>
        <w:tc>
          <w:tcPr>
            <w:tcW w:w="567" w:type="dxa"/>
            <w:vMerge w:val="restart"/>
            <w:vAlign w:val="center"/>
          </w:tcPr>
          <w:p>
            <w:pPr>
              <w:autoSpaceDN w:val="0"/>
              <w:jc w:val="center"/>
              <w:textAlignment w:val="center"/>
              <w:rPr>
                <w:rFonts w:asciiTheme="minorEastAsia" w:hAnsiTheme="minorEastAsia"/>
                <w:szCs w:val="21"/>
              </w:rPr>
            </w:pPr>
            <w:r>
              <w:rPr>
                <w:rFonts w:hint="eastAsia" w:asciiTheme="minorEastAsia" w:hAnsiTheme="minorEastAsia"/>
                <w:szCs w:val="21"/>
              </w:rPr>
              <w:t>培养结果</w:t>
            </w:r>
          </w:p>
        </w:tc>
        <w:tc>
          <w:tcPr>
            <w:tcW w:w="709"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就业</w:t>
            </w:r>
            <w:r>
              <w:rPr>
                <w:rFonts w:hint="eastAsia" w:asciiTheme="minorEastAsia" w:hAnsiTheme="minorEastAsia"/>
                <w:color w:val="000000"/>
                <w:szCs w:val="21"/>
              </w:rPr>
              <w:t>率</w:t>
            </w:r>
          </w:p>
        </w:tc>
        <w:tc>
          <w:tcPr>
            <w:tcW w:w="462" w:type="dxa"/>
            <w:vAlign w:val="center"/>
          </w:tcPr>
          <w:p>
            <w:pPr>
              <w:autoSpaceDN w:val="0"/>
              <w:jc w:val="center"/>
              <w:textAlignment w:val="center"/>
              <w:rPr>
                <w:rFonts w:asciiTheme="minorEastAsia" w:hAnsiTheme="minorEastAsia"/>
                <w:color w:val="000000"/>
                <w:szCs w:val="21"/>
              </w:rPr>
            </w:pPr>
            <w:r>
              <w:rPr>
                <w:rFonts w:hint="eastAsia" w:asciiTheme="minorEastAsia" w:hAnsiTheme="minorEastAsia"/>
                <w:color w:val="000000"/>
                <w:szCs w:val="21"/>
              </w:rPr>
              <w:t>6</w:t>
            </w:r>
            <w:r>
              <w:rPr>
                <w:rFonts w:asciiTheme="minorEastAsia" w:hAnsiTheme="minorEastAsia"/>
                <w:color w:val="000000"/>
                <w:szCs w:val="21"/>
              </w:rPr>
              <w:t>%</w:t>
            </w:r>
          </w:p>
        </w:tc>
        <w:tc>
          <w:tcPr>
            <w:tcW w:w="3365" w:type="dxa"/>
            <w:vAlign w:val="center"/>
          </w:tcPr>
          <w:p>
            <w:pPr>
              <w:autoSpaceDN w:val="0"/>
              <w:jc w:val="left"/>
              <w:textAlignment w:val="center"/>
              <w:rPr>
                <w:rFonts w:asciiTheme="minorEastAsia" w:hAnsiTheme="minorEastAsia"/>
                <w:color w:val="000000"/>
                <w:szCs w:val="21"/>
              </w:rPr>
            </w:pPr>
            <w:r>
              <w:rPr>
                <w:rFonts w:hint="eastAsia" w:asciiTheme="minorEastAsia" w:hAnsiTheme="minorEastAsia"/>
                <w:color w:val="000000"/>
                <w:szCs w:val="21"/>
              </w:rPr>
              <w:t>近三年平均</w:t>
            </w:r>
            <w:r>
              <w:rPr>
                <w:rFonts w:asciiTheme="minorEastAsia" w:hAnsiTheme="minorEastAsia"/>
                <w:color w:val="000000"/>
                <w:szCs w:val="21"/>
              </w:rPr>
              <w:t>就业率</w:t>
            </w:r>
          </w:p>
        </w:tc>
        <w:tc>
          <w:tcPr>
            <w:tcW w:w="2127" w:type="dxa"/>
            <w:vAlign w:val="center"/>
          </w:tcPr>
          <w:p>
            <w:pPr>
              <w:autoSpaceDN w:val="0"/>
              <w:jc w:val="center"/>
              <w:textAlignment w:val="center"/>
              <w:rPr>
                <w:rFonts w:asciiTheme="minorEastAsia" w:hAnsiTheme="minorEastAsia"/>
                <w:szCs w:val="21"/>
              </w:rPr>
            </w:pPr>
            <w:r>
              <w:rPr>
                <w:rFonts w:asciiTheme="minorEastAsia" w:hAnsiTheme="minorEastAsia"/>
                <w:szCs w:val="21"/>
              </w:rPr>
              <w:t>就业率</w:t>
            </w:r>
            <w:r>
              <w:rPr>
                <w:rFonts w:hint="eastAsia" w:asciiTheme="minorEastAsia" w:hAnsiTheme="minorEastAsia"/>
                <w:szCs w:val="21"/>
              </w:rPr>
              <w:t>为98%及以上</w:t>
            </w:r>
          </w:p>
        </w:tc>
        <w:tc>
          <w:tcPr>
            <w:tcW w:w="1984" w:type="dxa"/>
            <w:vAlign w:val="center"/>
          </w:tcPr>
          <w:p>
            <w:pPr>
              <w:autoSpaceDN w:val="0"/>
              <w:jc w:val="center"/>
              <w:textAlignment w:val="center"/>
              <w:rPr>
                <w:rFonts w:asciiTheme="minorEastAsia" w:hAnsiTheme="minorEastAsia"/>
                <w:szCs w:val="21"/>
              </w:rPr>
            </w:pPr>
            <w:r>
              <w:rPr>
                <w:rFonts w:asciiTheme="minorEastAsia" w:hAnsiTheme="minorEastAsia"/>
                <w:szCs w:val="21"/>
              </w:rPr>
              <w:t>就业率</w:t>
            </w:r>
            <w:r>
              <w:rPr>
                <w:rFonts w:hint="eastAsia" w:asciiTheme="minorEastAsia" w:hAnsiTheme="minorEastAsia"/>
                <w:szCs w:val="21"/>
              </w:rPr>
              <w:t>为95%及以上</w:t>
            </w:r>
          </w:p>
        </w:tc>
        <w:tc>
          <w:tcPr>
            <w:tcW w:w="1985" w:type="dxa"/>
            <w:vAlign w:val="center"/>
          </w:tcPr>
          <w:p>
            <w:pPr>
              <w:autoSpaceDN w:val="0"/>
              <w:jc w:val="center"/>
              <w:textAlignment w:val="center"/>
              <w:rPr>
                <w:rFonts w:asciiTheme="minorEastAsia" w:hAnsiTheme="minorEastAsia"/>
                <w:szCs w:val="21"/>
              </w:rPr>
            </w:pPr>
            <w:r>
              <w:rPr>
                <w:rFonts w:asciiTheme="minorEastAsia" w:hAnsiTheme="minorEastAsia"/>
                <w:szCs w:val="21"/>
              </w:rPr>
              <w:t>就业率</w:t>
            </w:r>
            <w:r>
              <w:rPr>
                <w:rFonts w:hint="eastAsia" w:asciiTheme="minorEastAsia" w:hAnsiTheme="minorEastAsia"/>
                <w:szCs w:val="21"/>
              </w:rPr>
              <w:t>为90%及以上</w:t>
            </w:r>
          </w:p>
        </w:tc>
        <w:tc>
          <w:tcPr>
            <w:tcW w:w="1984" w:type="dxa"/>
            <w:vAlign w:val="center"/>
          </w:tcPr>
          <w:p>
            <w:pPr>
              <w:autoSpaceDN w:val="0"/>
              <w:jc w:val="center"/>
              <w:textAlignment w:val="center"/>
              <w:rPr>
                <w:rFonts w:asciiTheme="minorEastAsia" w:hAnsiTheme="minorEastAsia"/>
                <w:szCs w:val="21"/>
              </w:rPr>
            </w:pPr>
            <w:r>
              <w:rPr>
                <w:rFonts w:asciiTheme="minorEastAsia" w:hAnsiTheme="minorEastAsia"/>
                <w:szCs w:val="21"/>
              </w:rPr>
              <w:t>就业率</w:t>
            </w:r>
            <w:r>
              <w:rPr>
                <w:rFonts w:hint="eastAsia" w:asciiTheme="minorEastAsia" w:hAnsiTheme="minorEastAsia"/>
                <w:szCs w:val="21"/>
              </w:rPr>
              <w:t>90%以下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780" w:hRule="atLeast"/>
        </w:trPr>
        <w:tc>
          <w:tcPr>
            <w:tcW w:w="582" w:type="dxa"/>
            <w:vMerge w:val="continue"/>
            <w:vAlign w:val="center"/>
          </w:tcPr>
          <w:p>
            <w:pPr>
              <w:rPr>
                <w:rFonts w:asciiTheme="minorEastAsia" w:hAnsiTheme="minorEastAsia"/>
                <w:color w:val="000000"/>
                <w:szCs w:val="21"/>
              </w:rPr>
            </w:pPr>
          </w:p>
        </w:tc>
        <w:tc>
          <w:tcPr>
            <w:tcW w:w="567" w:type="dxa"/>
            <w:vMerge w:val="continue"/>
            <w:vAlign w:val="center"/>
          </w:tcPr>
          <w:p>
            <w:pPr>
              <w:autoSpaceDN w:val="0"/>
              <w:jc w:val="center"/>
              <w:textAlignment w:val="center"/>
              <w:rPr>
                <w:rFonts w:asciiTheme="minorEastAsia" w:hAnsiTheme="minorEastAsia"/>
                <w:szCs w:val="21"/>
              </w:rPr>
            </w:pPr>
          </w:p>
        </w:tc>
        <w:tc>
          <w:tcPr>
            <w:tcW w:w="709" w:type="dxa"/>
            <w:vAlign w:val="center"/>
          </w:tcPr>
          <w:p>
            <w:pPr>
              <w:autoSpaceDN w:val="0"/>
              <w:jc w:val="center"/>
              <w:textAlignment w:val="center"/>
              <w:rPr>
                <w:rFonts w:asciiTheme="minorEastAsia" w:hAnsiTheme="minorEastAsia"/>
                <w:color w:val="000000"/>
                <w:szCs w:val="21"/>
              </w:rPr>
            </w:pPr>
            <w:r>
              <w:rPr>
                <w:rFonts w:hint="eastAsia" w:asciiTheme="minorEastAsia" w:hAnsiTheme="minorEastAsia"/>
                <w:color w:val="000000"/>
                <w:szCs w:val="21"/>
              </w:rPr>
              <w:t>就业结构</w:t>
            </w:r>
          </w:p>
        </w:tc>
        <w:tc>
          <w:tcPr>
            <w:tcW w:w="462" w:type="dxa"/>
            <w:vAlign w:val="center"/>
          </w:tcPr>
          <w:p>
            <w:pPr>
              <w:autoSpaceDN w:val="0"/>
              <w:jc w:val="center"/>
              <w:textAlignment w:val="center"/>
              <w:rPr>
                <w:rFonts w:asciiTheme="minorEastAsia" w:hAnsiTheme="minorEastAsia"/>
                <w:color w:val="000000"/>
                <w:szCs w:val="21"/>
              </w:rPr>
            </w:pPr>
            <w:r>
              <w:rPr>
                <w:rFonts w:hint="eastAsia" w:asciiTheme="minorEastAsia" w:hAnsiTheme="minorEastAsia"/>
                <w:color w:val="000000"/>
                <w:szCs w:val="21"/>
              </w:rPr>
              <w:t>9%</w:t>
            </w:r>
          </w:p>
        </w:tc>
        <w:tc>
          <w:tcPr>
            <w:tcW w:w="3365" w:type="dxa"/>
            <w:vAlign w:val="center"/>
          </w:tcPr>
          <w:p>
            <w:pPr>
              <w:autoSpaceDN w:val="0"/>
              <w:textAlignment w:val="center"/>
              <w:rPr>
                <w:rFonts w:asciiTheme="minorEastAsia" w:hAnsiTheme="minorEastAsia"/>
                <w:szCs w:val="21"/>
              </w:rPr>
            </w:pPr>
            <w:r>
              <w:rPr>
                <w:rFonts w:asciiTheme="minorEastAsia" w:hAnsiTheme="minorEastAsia"/>
                <w:color w:val="000000"/>
                <w:szCs w:val="21"/>
              </w:rPr>
              <w:t>近三年</w:t>
            </w:r>
            <w:r>
              <w:rPr>
                <w:rFonts w:hint="eastAsia" w:asciiTheme="minorEastAsia" w:hAnsiTheme="minorEastAsia"/>
                <w:color w:val="000000"/>
                <w:szCs w:val="21"/>
              </w:rPr>
              <w:t>在</w:t>
            </w:r>
            <w:r>
              <w:rPr>
                <w:rFonts w:asciiTheme="minorEastAsia" w:hAnsiTheme="minorEastAsia"/>
                <w:color w:val="000000"/>
                <w:szCs w:val="21"/>
              </w:rPr>
              <w:t>实际部门从事统计</w:t>
            </w:r>
            <w:r>
              <w:rPr>
                <w:rFonts w:asciiTheme="minorEastAsia" w:hAnsiTheme="minorEastAsia"/>
                <w:szCs w:val="21"/>
              </w:rPr>
              <w:t>或数据分析相关工作毕业生占比平</w:t>
            </w:r>
            <w:r>
              <w:rPr>
                <w:rFonts w:asciiTheme="minorEastAsia" w:hAnsiTheme="minorEastAsia"/>
                <w:color w:val="000000"/>
                <w:szCs w:val="21"/>
              </w:rPr>
              <w:t>均值</w:t>
            </w:r>
          </w:p>
        </w:tc>
        <w:tc>
          <w:tcPr>
            <w:tcW w:w="2127"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90%（含）以上</w:t>
            </w:r>
          </w:p>
        </w:tc>
        <w:tc>
          <w:tcPr>
            <w:tcW w:w="1984"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80%（含）—90%（不含）</w:t>
            </w:r>
          </w:p>
        </w:tc>
        <w:tc>
          <w:tcPr>
            <w:tcW w:w="1985"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60%（含）—80%（不含）</w:t>
            </w:r>
          </w:p>
        </w:tc>
        <w:tc>
          <w:tcPr>
            <w:tcW w:w="1984"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Ex>
        <w:trPr>
          <w:trHeight w:val="1700" w:hRule="atLeast"/>
        </w:trPr>
        <w:tc>
          <w:tcPr>
            <w:tcW w:w="582" w:type="dxa"/>
            <w:vMerge w:val="continue"/>
            <w:vAlign w:val="center"/>
          </w:tcPr>
          <w:p>
            <w:pPr>
              <w:rPr>
                <w:rFonts w:asciiTheme="minorEastAsia" w:hAnsiTheme="minorEastAsia"/>
                <w:color w:val="000000"/>
                <w:szCs w:val="21"/>
              </w:rPr>
            </w:pPr>
          </w:p>
        </w:tc>
        <w:tc>
          <w:tcPr>
            <w:tcW w:w="567" w:type="dxa"/>
            <w:vMerge w:val="continue"/>
            <w:vAlign w:val="center"/>
          </w:tcPr>
          <w:p>
            <w:pPr>
              <w:autoSpaceDN w:val="0"/>
              <w:jc w:val="center"/>
              <w:textAlignment w:val="center"/>
              <w:rPr>
                <w:rFonts w:asciiTheme="minorEastAsia" w:hAnsiTheme="minorEastAsia"/>
                <w:szCs w:val="21"/>
              </w:rPr>
            </w:pPr>
          </w:p>
        </w:tc>
        <w:tc>
          <w:tcPr>
            <w:tcW w:w="709"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论文质量</w:t>
            </w:r>
          </w:p>
        </w:tc>
        <w:tc>
          <w:tcPr>
            <w:tcW w:w="462"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10%</w:t>
            </w:r>
          </w:p>
        </w:tc>
        <w:tc>
          <w:tcPr>
            <w:tcW w:w="3365" w:type="dxa"/>
            <w:vAlign w:val="center"/>
          </w:tcPr>
          <w:p>
            <w:pPr>
              <w:autoSpaceDN w:val="0"/>
              <w:textAlignment w:val="center"/>
              <w:rPr>
                <w:rFonts w:asciiTheme="minorEastAsia" w:hAnsiTheme="minorEastAsia"/>
                <w:color w:val="000000"/>
                <w:szCs w:val="21"/>
              </w:rPr>
            </w:pPr>
            <w:r>
              <w:rPr>
                <w:rFonts w:asciiTheme="minorEastAsia" w:hAnsiTheme="minorEastAsia"/>
                <w:color w:val="000000"/>
                <w:szCs w:val="21"/>
              </w:rPr>
              <w:t>随机抽查不少于已通过答辩论文总数10%的论文，其中理论联系实际、写作规范、内容充实并有一定创新、无抄袭等违反学术道德的现象的论文比例</w:t>
            </w:r>
          </w:p>
        </w:tc>
        <w:tc>
          <w:tcPr>
            <w:tcW w:w="2127"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90%（含）以上</w:t>
            </w:r>
          </w:p>
        </w:tc>
        <w:tc>
          <w:tcPr>
            <w:tcW w:w="1984"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80%（含）—90%（不含）</w:t>
            </w:r>
          </w:p>
        </w:tc>
        <w:tc>
          <w:tcPr>
            <w:tcW w:w="1985"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60%（含）—80%（不含）</w:t>
            </w:r>
          </w:p>
        </w:tc>
        <w:tc>
          <w:tcPr>
            <w:tcW w:w="1984" w:type="dxa"/>
            <w:vAlign w:val="center"/>
          </w:tcPr>
          <w:p>
            <w:pPr>
              <w:autoSpaceDN w:val="0"/>
              <w:jc w:val="center"/>
              <w:textAlignment w:val="center"/>
              <w:rPr>
                <w:rFonts w:asciiTheme="minorEastAsia" w:hAnsiTheme="minorEastAsia"/>
                <w:color w:val="000000"/>
                <w:szCs w:val="21"/>
              </w:rPr>
            </w:pPr>
            <w:r>
              <w:rPr>
                <w:rFonts w:asciiTheme="minorEastAsia" w:hAnsiTheme="minorEastAsia"/>
                <w:color w:val="000000"/>
                <w:szCs w:val="21"/>
              </w:rPr>
              <w:t>60%</w:t>
            </w:r>
          </w:p>
        </w:tc>
      </w:tr>
    </w:tbl>
    <w:p>
      <w:pPr>
        <w:widowControl/>
        <w:jc w:val="left"/>
        <w:rPr>
          <w:rFonts w:asciiTheme="minorEastAsia" w:hAnsiTheme="minorEastAsia"/>
          <w:color w:val="000000"/>
          <w:szCs w:val="21"/>
        </w:rPr>
      </w:pPr>
    </w:p>
    <w:tbl>
      <w:tblPr>
        <w:tblStyle w:val="5"/>
        <w:tblW w:w="1376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1080"/>
        <w:gridCol w:w="2958"/>
        <w:gridCol w:w="8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6" w:hRule="atLeast"/>
        </w:trPr>
        <w:tc>
          <w:tcPr>
            <w:tcW w:w="1080" w:type="dxa"/>
            <w:vMerge w:val="restart"/>
            <w:vAlign w:val="center"/>
          </w:tcPr>
          <w:p>
            <w:pPr>
              <w:widowControl/>
              <w:jc w:val="center"/>
              <w:rPr>
                <w:rFonts w:asciiTheme="minorEastAsia" w:hAnsiTheme="minorEastAsia"/>
                <w:color w:val="000000"/>
                <w:szCs w:val="21"/>
              </w:rPr>
            </w:pPr>
            <w:r>
              <w:rPr>
                <w:rFonts w:asciiTheme="minorEastAsia" w:hAnsiTheme="minorEastAsia"/>
                <w:color w:val="000000"/>
                <w:szCs w:val="21"/>
              </w:rPr>
              <w:t>奖励及惩罚事项</w:t>
            </w:r>
          </w:p>
        </w:tc>
        <w:tc>
          <w:tcPr>
            <w:tcW w:w="1080" w:type="dxa"/>
            <w:vAlign w:val="center"/>
          </w:tcPr>
          <w:p>
            <w:pPr>
              <w:widowControl/>
              <w:jc w:val="left"/>
              <w:rPr>
                <w:rFonts w:asciiTheme="minorEastAsia" w:hAnsiTheme="minorEastAsia"/>
                <w:color w:val="000000"/>
                <w:szCs w:val="21"/>
              </w:rPr>
            </w:pPr>
            <w:r>
              <w:rPr>
                <w:rFonts w:asciiTheme="minorEastAsia" w:hAnsiTheme="minorEastAsia"/>
                <w:color w:val="000000"/>
                <w:szCs w:val="21"/>
              </w:rPr>
              <w:t>奖励项目</w:t>
            </w:r>
          </w:p>
        </w:tc>
        <w:tc>
          <w:tcPr>
            <w:tcW w:w="2958" w:type="dxa"/>
            <w:vAlign w:val="center"/>
          </w:tcPr>
          <w:p>
            <w:pPr>
              <w:widowControl/>
              <w:jc w:val="left"/>
              <w:rPr>
                <w:rFonts w:asciiTheme="minorEastAsia" w:hAnsiTheme="minorEastAsia"/>
                <w:color w:val="000000"/>
                <w:szCs w:val="21"/>
              </w:rPr>
            </w:pPr>
            <w:r>
              <w:rPr>
                <w:rFonts w:asciiTheme="minorEastAsia" w:hAnsiTheme="minorEastAsia"/>
                <w:color w:val="000000"/>
                <w:szCs w:val="21"/>
              </w:rPr>
              <w:t>对部分重要项目特别优异者，可酌情加分奖励。加分总计不得超过5分（含5分）</w:t>
            </w:r>
          </w:p>
        </w:tc>
        <w:tc>
          <w:tcPr>
            <w:tcW w:w="8647" w:type="dxa"/>
            <w:vAlign w:val="center"/>
          </w:tcPr>
          <w:p>
            <w:pPr>
              <w:widowControl/>
              <w:jc w:val="left"/>
              <w:rPr>
                <w:rFonts w:asciiTheme="minorEastAsia" w:hAnsiTheme="minorEastAsia"/>
                <w:color w:val="000000"/>
                <w:szCs w:val="21"/>
              </w:rPr>
            </w:pPr>
            <w:r>
              <w:rPr>
                <w:rFonts w:asciiTheme="minorEastAsia" w:hAnsiTheme="minorEastAsia"/>
                <w:color w:val="000000"/>
                <w:szCs w:val="21"/>
              </w:rPr>
              <w:t>（1）办学特色鲜明（包括课程特色、教学法、案例和教材建设、MAS素质教育、国际合作等），并具有较显著的创新性；</w:t>
            </w:r>
          </w:p>
          <w:p>
            <w:pPr>
              <w:jc w:val="left"/>
              <w:rPr>
                <w:rFonts w:asciiTheme="minorEastAsia" w:hAnsiTheme="minorEastAsia"/>
                <w:color w:val="000000"/>
                <w:szCs w:val="21"/>
              </w:rPr>
            </w:pPr>
            <w:r>
              <w:rPr>
                <w:rFonts w:asciiTheme="minorEastAsia" w:hAnsiTheme="minorEastAsia"/>
                <w:color w:val="000000"/>
                <w:szCs w:val="21"/>
              </w:rPr>
              <w:t>（2）积极参与和承担应用统计专业硕士培养相关工作，成绩显著。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1080" w:type="dxa"/>
            <w:vMerge w:val="continue"/>
            <w:vAlign w:val="center"/>
          </w:tcPr>
          <w:p>
            <w:pPr>
              <w:widowControl/>
              <w:jc w:val="left"/>
              <w:rPr>
                <w:rFonts w:asciiTheme="minorEastAsia" w:hAnsiTheme="minorEastAsia"/>
                <w:color w:val="000000"/>
                <w:kern w:val="0"/>
              </w:rPr>
            </w:pPr>
          </w:p>
        </w:tc>
        <w:tc>
          <w:tcPr>
            <w:tcW w:w="1080" w:type="dxa"/>
            <w:vAlign w:val="center"/>
          </w:tcPr>
          <w:p>
            <w:pPr>
              <w:widowControl/>
              <w:jc w:val="left"/>
              <w:rPr>
                <w:rFonts w:asciiTheme="minorEastAsia" w:hAnsiTheme="minorEastAsia"/>
                <w:color w:val="000000"/>
                <w:kern w:val="0"/>
                <w:szCs w:val="21"/>
              </w:rPr>
            </w:pPr>
            <w:r>
              <w:rPr>
                <w:rFonts w:asciiTheme="minorEastAsia" w:hAnsiTheme="minorEastAsia"/>
                <w:color w:val="000000"/>
                <w:kern w:val="0"/>
                <w:szCs w:val="21"/>
              </w:rPr>
              <w:t>罚分项目</w:t>
            </w:r>
          </w:p>
        </w:tc>
        <w:tc>
          <w:tcPr>
            <w:tcW w:w="2958" w:type="dxa"/>
            <w:vAlign w:val="center"/>
          </w:tcPr>
          <w:p>
            <w:pPr>
              <w:widowControl/>
              <w:jc w:val="left"/>
              <w:rPr>
                <w:rFonts w:asciiTheme="minorEastAsia" w:hAnsiTheme="minorEastAsia"/>
                <w:color w:val="000000"/>
                <w:kern w:val="0"/>
                <w:szCs w:val="21"/>
              </w:rPr>
            </w:pPr>
            <w:r>
              <w:rPr>
                <w:rFonts w:asciiTheme="minorEastAsia" w:hAnsiTheme="minorEastAsia"/>
                <w:color w:val="000000"/>
                <w:kern w:val="0"/>
                <w:szCs w:val="21"/>
              </w:rPr>
              <w:t>对出现重大事故或存在重大问题者，可酌情减分。罚分总计不得超过5分（含5分）</w:t>
            </w:r>
          </w:p>
        </w:tc>
        <w:tc>
          <w:tcPr>
            <w:tcW w:w="8647" w:type="dxa"/>
            <w:vAlign w:val="center"/>
          </w:tcPr>
          <w:p>
            <w:pPr>
              <w:widowControl/>
              <w:rPr>
                <w:rFonts w:asciiTheme="minorEastAsia" w:hAnsiTheme="minorEastAsia"/>
                <w:color w:val="000000"/>
                <w:kern w:val="0"/>
                <w:szCs w:val="21"/>
              </w:rPr>
            </w:pPr>
            <w:r>
              <w:rPr>
                <w:rFonts w:asciiTheme="minorEastAsia" w:hAnsiTheme="minorEastAsia"/>
                <w:color w:val="000000"/>
                <w:kern w:val="0"/>
                <w:szCs w:val="21"/>
              </w:rPr>
              <w:t>（1）招生、培养、毕业等方面发生重大事故，造成重大影响，严重影响MAS社会声誉；</w:t>
            </w:r>
          </w:p>
          <w:p>
            <w:pPr>
              <w:rPr>
                <w:rFonts w:asciiTheme="minorEastAsia" w:hAnsiTheme="minorEastAsia"/>
                <w:color w:val="000000"/>
                <w:kern w:val="0"/>
                <w:szCs w:val="21"/>
              </w:rPr>
            </w:pPr>
            <w:r>
              <w:rPr>
                <w:rFonts w:asciiTheme="minorEastAsia" w:hAnsiTheme="minorEastAsia"/>
                <w:color w:val="000000"/>
                <w:kern w:val="0"/>
                <w:szCs w:val="21"/>
              </w:rPr>
              <w:t>（2）办学秩序混乱。</w:t>
            </w:r>
          </w:p>
        </w:tc>
      </w:tr>
    </w:tbl>
    <w:p>
      <w:pPr>
        <w:widowControl/>
        <w:jc w:val="left"/>
        <w:rPr>
          <w:rFonts w:asciiTheme="minorEastAsia" w:hAnsiTheme="minorEastAsia"/>
          <w:color w:val="000000"/>
        </w:rPr>
        <w:sectPr>
          <w:pgSz w:w="16840" w:h="11907" w:orient="landscape"/>
          <w:pgMar w:top="1440" w:right="1758" w:bottom="1440" w:left="1758" w:header="851" w:footer="992" w:gutter="0"/>
          <w:cols w:space="720" w:num="1"/>
          <w:docGrid w:linePitch="326" w:charSpace="0"/>
        </w:sectPr>
      </w:pPr>
    </w:p>
    <w:p>
      <w:pPr>
        <w:jc w:val="center"/>
        <w:rPr>
          <w:rFonts w:asciiTheme="minorEastAsia" w:hAnsiTheme="minorEastAsia"/>
          <w:sz w:val="28"/>
          <w:szCs w:val="28"/>
        </w:rPr>
      </w:pPr>
      <w:r>
        <w:rPr>
          <w:rFonts w:asciiTheme="minorEastAsia" w:hAnsiTheme="minorEastAsia"/>
          <w:sz w:val="28"/>
          <w:szCs w:val="28"/>
        </w:rPr>
        <w:t>对评估</w:t>
      </w:r>
      <w:r>
        <w:rPr>
          <w:rFonts w:hint="eastAsia" w:asciiTheme="minorEastAsia" w:hAnsiTheme="minorEastAsia"/>
          <w:sz w:val="28"/>
          <w:szCs w:val="28"/>
        </w:rPr>
        <w:t>体系</w:t>
      </w:r>
      <w:r>
        <w:rPr>
          <w:rFonts w:asciiTheme="minorEastAsia" w:hAnsiTheme="minorEastAsia"/>
          <w:sz w:val="28"/>
          <w:szCs w:val="28"/>
        </w:rPr>
        <w:t>的解释</w:t>
      </w:r>
    </w:p>
    <w:p>
      <w:pPr>
        <w:pStyle w:val="3"/>
        <w:spacing w:before="0" w:beforeAutospacing="0" w:after="0" w:afterAutospacing="0" w:line="360" w:lineRule="auto"/>
        <w:ind w:firstLine="480"/>
        <w:rPr>
          <w:rFonts w:cs="Times New Roman" w:asciiTheme="minorEastAsia" w:hAnsiTheme="minorEastAsia" w:eastAsiaTheme="minorEastAsia"/>
          <w:color w:val="000000"/>
          <w:sz w:val="28"/>
          <w:szCs w:val="28"/>
        </w:rPr>
      </w:pPr>
      <w:r>
        <w:rPr>
          <w:rFonts w:hint="eastAsia" w:cs="Times New Roman" w:asciiTheme="minorEastAsia" w:hAnsiTheme="minorEastAsia" w:eastAsiaTheme="minorEastAsia"/>
          <w:color w:val="000000"/>
          <w:sz w:val="28"/>
          <w:szCs w:val="28"/>
        </w:rPr>
        <w:t>一、评估体系包括：</w:t>
      </w:r>
      <w:r>
        <w:rPr>
          <w:rFonts w:cs="Times New Roman" w:asciiTheme="minorEastAsia" w:hAnsiTheme="minorEastAsia" w:eastAsiaTheme="minorEastAsia"/>
          <w:color w:val="000000"/>
          <w:sz w:val="28"/>
          <w:szCs w:val="28"/>
        </w:rPr>
        <w:t>评估</w:t>
      </w:r>
      <w:r>
        <w:rPr>
          <w:rFonts w:hint="eastAsia" w:cs="Times New Roman" w:asciiTheme="minorEastAsia" w:hAnsiTheme="minorEastAsia" w:eastAsiaTheme="minorEastAsia"/>
          <w:color w:val="000000"/>
          <w:sz w:val="28"/>
          <w:szCs w:val="28"/>
        </w:rPr>
        <w:t>要素、评估项目</w:t>
      </w:r>
      <w:r>
        <w:rPr>
          <w:rFonts w:cs="Times New Roman" w:asciiTheme="minorEastAsia" w:hAnsiTheme="minorEastAsia" w:eastAsiaTheme="minorEastAsia"/>
          <w:color w:val="000000"/>
          <w:sz w:val="28"/>
          <w:szCs w:val="28"/>
        </w:rPr>
        <w:t>和评估指标</w:t>
      </w:r>
      <w:r>
        <w:rPr>
          <w:rFonts w:hint="eastAsia" w:cs="Times New Roman" w:asciiTheme="minorEastAsia" w:hAnsiTheme="minorEastAsia" w:eastAsiaTheme="minorEastAsia"/>
          <w:color w:val="000000"/>
          <w:sz w:val="28"/>
          <w:szCs w:val="28"/>
        </w:rPr>
        <w:t>。</w:t>
      </w:r>
    </w:p>
    <w:p>
      <w:pPr>
        <w:pStyle w:val="3"/>
        <w:spacing w:before="0" w:beforeAutospacing="0" w:after="0" w:afterAutospacing="0" w:line="360" w:lineRule="auto"/>
        <w:ind w:firstLine="480"/>
        <w:rPr>
          <w:rFonts w:cs="Times New Roman" w:asciiTheme="minorEastAsia" w:hAnsiTheme="minorEastAsia" w:eastAsiaTheme="minorEastAsia"/>
          <w:color w:val="000000"/>
          <w:sz w:val="28"/>
          <w:szCs w:val="28"/>
        </w:rPr>
      </w:pPr>
      <w:r>
        <w:rPr>
          <w:rFonts w:hint="eastAsia" w:cs="Times New Roman" w:asciiTheme="minorEastAsia" w:hAnsiTheme="minorEastAsia" w:eastAsiaTheme="minorEastAsia"/>
          <w:color w:val="000000"/>
          <w:sz w:val="28"/>
          <w:szCs w:val="28"/>
        </w:rPr>
        <w:t>二、评估要素分为两大部分，基本条件和人才培养。</w:t>
      </w:r>
    </w:p>
    <w:p>
      <w:pPr>
        <w:pStyle w:val="3"/>
        <w:spacing w:before="0" w:beforeAutospacing="0" w:after="0" w:afterAutospacing="0" w:line="360" w:lineRule="auto"/>
        <w:ind w:firstLine="1120" w:firstLineChars="400"/>
        <w:rPr>
          <w:rFonts w:cs="Times New Roman" w:asciiTheme="minorEastAsia" w:hAnsiTheme="minorEastAsia" w:eastAsiaTheme="minorEastAsia"/>
          <w:color w:val="000000"/>
          <w:sz w:val="28"/>
          <w:szCs w:val="28"/>
        </w:rPr>
      </w:pPr>
      <w:r>
        <w:rPr>
          <w:rFonts w:hint="eastAsia" w:cs="Times New Roman" w:asciiTheme="minorEastAsia" w:hAnsiTheme="minorEastAsia" w:eastAsiaTheme="minorEastAsia"/>
          <w:color w:val="000000"/>
          <w:sz w:val="28"/>
          <w:szCs w:val="28"/>
        </w:rPr>
        <w:t>1.基本条件设两个评估项目6个指标。</w:t>
      </w:r>
    </w:p>
    <w:p>
      <w:pPr>
        <w:pStyle w:val="3"/>
        <w:spacing w:before="0" w:beforeAutospacing="0" w:after="0" w:afterAutospacing="0" w:line="360" w:lineRule="auto"/>
        <w:ind w:firstLine="980" w:firstLineChars="350"/>
        <w:rPr>
          <w:rFonts w:cs="Times New Roman" w:asciiTheme="minorEastAsia" w:hAnsiTheme="minorEastAsia" w:eastAsiaTheme="minorEastAsia"/>
          <w:color w:val="000000"/>
          <w:sz w:val="28"/>
          <w:szCs w:val="28"/>
        </w:rPr>
      </w:pPr>
      <w:r>
        <w:rPr>
          <w:rFonts w:hint="eastAsia" w:cs="Times New Roman" w:asciiTheme="minorEastAsia" w:hAnsiTheme="minorEastAsia" w:eastAsiaTheme="minorEastAsia"/>
          <w:color w:val="000000"/>
          <w:sz w:val="28"/>
          <w:szCs w:val="28"/>
        </w:rPr>
        <w:t>（1）师资队伍：</w:t>
      </w:r>
      <w:r>
        <w:rPr>
          <w:rFonts w:cs="Times New Roman" w:asciiTheme="minorEastAsia" w:hAnsiTheme="minorEastAsia" w:eastAsiaTheme="minorEastAsia"/>
          <w:color w:val="000000"/>
          <w:sz w:val="28"/>
          <w:szCs w:val="28"/>
        </w:rPr>
        <w:t>4个指标，评分权重20%；</w:t>
      </w:r>
    </w:p>
    <w:p>
      <w:pPr>
        <w:pStyle w:val="3"/>
        <w:spacing w:before="0" w:beforeAutospacing="0" w:after="0" w:afterAutospacing="0" w:line="360" w:lineRule="auto"/>
        <w:ind w:firstLine="980" w:firstLineChars="350"/>
        <w:rPr>
          <w:rFonts w:cs="Times New Roman" w:asciiTheme="minorEastAsia" w:hAnsiTheme="minorEastAsia" w:eastAsiaTheme="minorEastAsia"/>
          <w:color w:val="000000"/>
          <w:sz w:val="28"/>
          <w:szCs w:val="28"/>
        </w:rPr>
      </w:pPr>
      <w:r>
        <w:rPr>
          <w:rFonts w:hint="eastAsia" w:cs="Times New Roman" w:asciiTheme="minorEastAsia" w:hAnsiTheme="minorEastAsia" w:eastAsiaTheme="minorEastAsia"/>
          <w:color w:val="000000"/>
          <w:sz w:val="28"/>
          <w:szCs w:val="28"/>
        </w:rPr>
        <w:t>（2）教学科研支撑：</w:t>
      </w:r>
      <w:r>
        <w:rPr>
          <w:rFonts w:cs="Times New Roman" w:asciiTheme="minorEastAsia" w:hAnsiTheme="minorEastAsia" w:eastAsiaTheme="minorEastAsia"/>
          <w:color w:val="000000"/>
          <w:sz w:val="28"/>
          <w:szCs w:val="28"/>
        </w:rPr>
        <w:t>2个指标，评分权重8%；</w:t>
      </w:r>
    </w:p>
    <w:p>
      <w:pPr>
        <w:pStyle w:val="3"/>
        <w:spacing w:before="0" w:beforeAutospacing="0" w:after="0" w:afterAutospacing="0" w:line="360" w:lineRule="auto"/>
        <w:ind w:firstLine="1120" w:firstLineChars="400"/>
        <w:rPr>
          <w:rFonts w:cs="Times New Roman" w:asciiTheme="minorEastAsia" w:hAnsiTheme="minorEastAsia" w:eastAsiaTheme="minorEastAsia"/>
          <w:color w:val="000000"/>
          <w:sz w:val="28"/>
          <w:szCs w:val="28"/>
        </w:rPr>
      </w:pPr>
      <w:r>
        <w:rPr>
          <w:rFonts w:hint="eastAsia" w:cs="Times New Roman" w:asciiTheme="minorEastAsia" w:hAnsiTheme="minorEastAsia" w:eastAsiaTheme="minorEastAsia"/>
          <w:color w:val="000000"/>
          <w:sz w:val="28"/>
          <w:szCs w:val="28"/>
        </w:rPr>
        <w:t>2.人才培养设四个评估项目11个指标。</w:t>
      </w:r>
    </w:p>
    <w:p>
      <w:pPr>
        <w:pStyle w:val="3"/>
        <w:spacing w:before="0" w:beforeAutospacing="0" w:after="0" w:afterAutospacing="0" w:line="360" w:lineRule="auto"/>
        <w:ind w:firstLine="851"/>
        <w:rPr>
          <w:rFonts w:cs="Times New Roman" w:asciiTheme="minorEastAsia" w:hAnsiTheme="minorEastAsia" w:eastAsiaTheme="minorEastAsia"/>
          <w:color w:val="000000"/>
          <w:sz w:val="28"/>
          <w:szCs w:val="28"/>
        </w:rPr>
      </w:pPr>
      <w:r>
        <w:rPr>
          <w:rFonts w:cs="Times New Roman" w:asciiTheme="minorEastAsia" w:hAnsiTheme="minorEastAsia" w:eastAsiaTheme="minorEastAsia"/>
          <w:color w:val="000000"/>
          <w:sz w:val="28"/>
          <w:szCs w:val="28"/>
        </w:rPr>
        <w:t>（</w:t>
      </w:r>
      <w:r>
        <w:rPr>
          <w:rFonts w:hint="eastAsia" w:cs="Times New Roman" w:asciiTheme="minorEastAsia" w:hAnsiTheme="minorEastAsia" w:eastAsiaTheme="minorEastAsia"/>
          <w:color w:val="000000"/>
          <w:sz w:val="28"/>
          <w:szCs w:val="28"/>
        </w:rPr>
        <w:t>1</w:t>
      </w:r>
      <w:r>
        <w:rPr>
          <w:rFonts w:cs="Times New Roman" w:asciiTheme="minorEastAsia" w:hAnsiTheme="minorEastAsia" w:eastAsiaTheme="minorEastAsia"/>
          <w:color w:val="000000"/>
          <w:sz w:val="28"/>
          <w:szCs w:val="28"/>
        </w:rPr>
        <w:t>）</w:t>
      </w:r>
      <w:r>
        <w:rPr>
          <w:rFonts w:hint="eastAsia" w:cs="Times New Roman" w:asciiTheme="minorEastAsia" w:hAnsiTheme="minorEastAsia" w:eastAsiaTheme="minorEastAsia"/>
          <w:color w:val="000000"/>
          <w:sz w:val="28"/>
          <w:szCs w:val="28"/>
        </w:rPr>
        <w:t>招生选拔</w:t>
      </w:r>
      <w:r>
        <w:rPr>
          <w:rFonts w:cs="Times New Roman" w:asciiTheme="minorEastAsia" w:hAnsiTheme="minorEastAsia" w:eastAsiaTheme="minorEastAsia"/>
          <w:color w:val="000000"/>
          <w:sz w:val="28"/>
          <w:szCs w:val="28"/>
        </w:rPr>
        <w:t>：</w:t>
      </w:r>
      <w:r>
        <w:rPr>
          <w:rFonts w:hint="eastAsia" w:cs="Times New Roman" w:asciiTheme="minorEastAsia" w:hAnsiTheme="minorEastAsia" w:eastAsiaTheme="minorEastAsia"/>
          <w:color w:val="000000"/>
          <w:sz w:val="28"/>
          <w:szCs w:val="28"/>
        </w:rPr>
        <w:t>2</w:t>
      </w:r>
      <w:r>
        <w:rPr>
          <w:rFonts w:cs="Times New Roman" w:asciiTheme="minorEastAsia" w:hAnsiTheme="minorEastAsia" w:eastAsiaTheme="minorEastAsia"/>
          <w:color w:val="000000"/>
          <w:sz w:val="28"/>
          <w:szCs w:val="28"/>
        </w:rPr>
        <w:t>个指标，评分权重10%；</w:t>
      </w:r>
    </w:p>
    <w:p>
      <w:pPr>
        <w:pStyle w:val="3"/>
        <w:spacing w:before="0" w:beforeAutospacing="0" w:after="0" w:afterAutospacing="0" w:line="360" w:lineRule="auto"/>
        <w:ind w:firstLine="851"/>
        <w:rPr>
          <w:rFonts w:cs="Times New Roman" w:asciiTheme="minorEastAsia" w:hAnsiTheme="minorEastAsia" w:eastAsiaTheme="minorEastAsia"/>
          <w:color w:val="000000"/>
          <w:sz w:val="28"/>
          <w:szCs w:val="28"/>
        </w:rPr>
      </w:pPr>
      <w:r>
        <w:rPr>
          <w:rFonts w:cs="Times New Roman" w:asciiTheme="minorEastAsia" w:hAnsiTheme="minorEastAsia" w:eastAsiaTheme="minorEastAsia"/>
          <w:color w:val="000000"/>
          <w:sz w:val="28"/>
          <w:szCs w:val="28"/>
        </w:rPr>
        <w:t>（</w:t>
      </w:r>
      <w:r>
        <w:rPr>
          <w:rFonts w:hint="eastAsia" w:cs="Times New Roman" w:asciiTheme="minorEastAsia" w:hAnsiTheme="minorEastAsia" w:eastAsiaTheme="minorEastAsia"/>
          <w:color w:val="000000"/>
          <w:sz w:val="28"/>
          <w:szCs w:val="28"/>
        </w:rPr>
        <w:t>2</w:t>
      </w:r>
      <w:r>
        <w:rPr>
          <w:rFonts w:cs="Times New Roman" w:asciiTheme="minorEastAsia" w:hAnsiTheme="minorEastAsia" w:eastAsiaTheme="minorEastAsia"/>
          <w:color w:val="000000"/>
          <w:sz w:val="28"/>
          <w:szCs w:val="28"/>
        </w:rPr>
        <w:t>）教学质量：4个指标，评分权重25%；</w:t>
      </w:r>
    </w:p>
    <w:p>
      <w:pPr>
        <w:pStyle w:val="3"/>
        <w:spacing w:before="0" w:beforeAutospacing="0" w:after="0" w:afterAutospacing="0" w:line="360" w:lineRule="auto"/>
        <w:ind w:firstLine="851"/>
        <w:rPr>
          <w:rFonts w:cs="Times New Roman" w:asciiTheme="minorEastAsia" w:hAnsiTheme="minorEastAsia" w:eastAsiaTheme="minorEastAsia"/>
          <w:color w:val="000000"/>
          <w:sz w:val="28"/>
          <w:szCs w:val="28"/>
        </w:rPr>
      </w:pPr>
      <w:r>
        <w:rPr>
          <w:rFonts w:cs="Times New Roman" w:asciiTheme="minorEastAsia" w:hAnsiTheme="minorEastAsia" w:eastAsiaTheme="minorEastAsia"/>
          <w:color w:val="000000"/>
          <w:sz w:val="28"/>
          <w:szCs w:val="28"/>
        </w:rPr>
        <w:t>（3）教学管理：2个指标，评分权重12%；</w:t>
      </w:r>
    </w:p>
    <w:p>
      <w:pPr>
        <w:pStyle w:val="3"/>
        <w:spacing w:before="0" w:beforeAutospacing="0" w:after="0" w:afterAutospacing="0" w:line="360" w:lineRule="auto"/>
        <w:ind w:firstLine="851"/>
        <w:rPr>
          <w:rFonts w:cs="Times New Roman" w:asciiTheme="minorEastAsia" w:hAnsiTheme="minorEastAsia" w:eastAsiaTheme="minorEastAsia"/>
          <w:color w:val="000000"/>
          <w:sz w:val="28"/>
          <w:szCs w:val="28"/>
        </w:rPr>
      </w:pPr>
      <w:r>
        <w:rPr>
          <w:rFonts w:cs="Times New Roman" w:asciiTheme="minorEastAsia" w:hAnsiTheme="minorEastAsia" w:eastAsiaTheme="minorEastAsia"/>
          <w:color w:val="000000"/>
          <w:sz w:val="28"/>
          <w:szCs w:val="28"/>
        </w:rPr>
        <w:t>（</w:t>
      </w:r>
      <w:r>
        <w:rPr>
          <w:rFonts w:hint="eastAsia" w:cs="Times New Roman" w:asciiTheme="minorEastAsia" w:hAnsiTheme="minorEastAsia" w:eastAsiaTheme="minorEastAsia"/>
          <w:color w:val="000000"/>
          <w:sz w:val="28"/>
          <w:szCs w:val="28"/>
        </w:rPr>
        <w:t>4</w:t>
      </w:r>
      <w:r>
        <w:rPr>
          <w:rFonts w:cs="Times New Roman" w:asciiTheme="minorEastAsia" w:hAnsiTheme="minorEastAsia" w:eastAsiaTheme="minorEastAsia"/>
          <w:color w:val="000000"/>
          <w:sz w:val="28"/>
          <w:szCs w:val="28"/>
        </w:rPr>
        <w:t>）培养效果：</w:t>
      </w:r>
      <w:r>
        <w:rPr>
          <w:rFonts w:hint="eastAsia" w:cs="Times New Roman" w:asciiTheme="minorEastAsia" w:hAnsiTheme="minorEastAsia" w:eastAsiaTheme="minorEastAsia"/>
          <w:color w:val="000000"/>
          <w:sz w:val="28"/>
          <w:szCs w:val="28"/>
        </w:rPr>
        <w:t>3</w:t>
      </w:r>
      <w:r>
        <w:rPr>
          <w:rFonts w:cs="Times New Roman" w:asciiTheme="minorEastAsia" w:hAnsiTheme="minorEastAsia" w:eastAsiaTheme="minorEastAsia"/>
          <w:color w:val="000000"/>
          <w:sz w:val="28"/>
          <w:szCs w:val="28"/>
        </w:rPr>
        <w:t>个指标，评分权重25%。</w:t>
      </w:r>
    </w:p>
    <w:p>
      <w:pPr>
        <w:pStyle w:val="3"/>
        <w:spacing w:before="0" w:beforeAutospacing="0" w:after="0" w:afterAutospacing="0" w:line="360" w:lineRule="auto"/>
        <w:ind w:firstLine="480"/>
        <w:rPr>
          <w:rFonts w:cs="Times New Roman" w:asciiTheme="minorEastAsia" w:hAnsiTheme="minorEastAsia" w:eastAsiaTheme="minorEastAsia"/>
          <w:color w:val="000000"/>
          <w:sz w:val="28"/>
          <w:szCs w:val="28"/>
        </w:rPr>
      </w:pPr>
      <w:r>
        <w:rPr>
          <w:rFonts w:hint="eastAsia" w:cs="Times New Roman" w:asciiTheme="minorEastAsia" w:hAnsiTheme="minorEastAsia" w:eastAsiaTheme="minorEastAsia"/>
          <w:color w:val="000000"/>
          <w:sz w:val="28"/>
          <w:szCs w:val="28"/>
        </w:rPr>
        <w:t>三、</w:t>
      </w:r>
      <w:r>
        <w:rPr>
          <w:rFonts w:cs="Times New Roman" w:asciiTheme="minorEastAsia" w:hAnsiTheme="minorEastAsia" w:eastAsiaTheme="minorEastAsia"/>
          <w:color w:val="000000"/>
          <w:sz w:val="28"/>
          <w:szCs w:val="28"/>
        </w:rPr>
        <w:t>单项指标评分标准：</w:t>
      </w:r>
    </w:p>
    <w:p>
      <w:pPr>
        <w:pStyle w:val="3"/>
        <w:spacing w:before="0" w:beforeAutospacing="0" w:after="0" w:afterAutospacing="0" w:line="360" w:lineRule="auto"/>
        <w:ind w:firstLine="480"/>
        <w:rPr>
          <w:rFonts w:cs="Times New Roman" w:asciiTheme="minorEastAsia" w:hAnsiTheme="minorEastAsia" w:eastAsiaTheme="minorEastAsia"/>
          <w:color w:val="000000"/>
          <w:sz w:val="28"/>
          <w:szCs w:val="28"/>
        </w:rPr>
      </w:pPr>
      <w:r>
        <w:rPr>
          <w:rFonts w:cs="Times New Roman" w:asciiTheme="minorEastAsia" w:hAnsiTheme="minorEastAsia" w:eastAsiaTheme="minorEastAsia"/>
          <w:color w:val="000000"/>
          <w:sz w:val="28"/>
          <w:szCs w:val="28"/>
        </w:rPr>
        <w:t>各单项指标满分均为100分，按优良程度不同分A、B、C、D四个等级，分别对应100、80、60、40分。</w:t>
      </w:r>
    </w:p>
    <w:p>
      <w:pPr>
        <w:pStyle w:val="3"/>
        <w:spacing w:before="0" w:beforeAutospacing="0" w:after="0" w:afterAutospacing="0" w:line="360" w:lineRule="auto"/>
        <w:ind w:firstLine="480"/>
        <w:rPr>
          <w:rFonts w:cs="Times New Roman" w:asciiTheme="minorEastAsia" w:hAnsiTheme="minorEastAsia" w:eastAsiaTheme="minorEastAsia"/>
          <w:color w:val="000000"/>
          <w:sz w:val="28"/>
          <w:szCs w:val="28"/>
        </w:rPr>
      </w:pPr>
      <w:r>
        <w:rPr>
          <w:rFonts w:cs="Times New Roman" w:asciiTheme="minorEastAsia" w:hAnsiTheme="minorEastAsia" w:eastAsiaTheme="minorEastAsia"/>
          <w:color w:val="000000"/>
          <w:sz w:val="28"/>
          <w:szCs w:val="28"/>
        </w:rPr>
        <w:t>各</w:t>
      </w:r>
      <w:r>
        <w:rPr>
          <w:rFonts w:hint="eastAsia" w:cs="Times New Roman" w:asciiTheme="minorEastAsia" w:hAnsiTheme="minorEastAsia" w:eastAsiaTheme="minorEastAsia"/>
          <w:color w:val="000000"/>
          <w:sz w:val="28"/>
          <w:szCs w:val="28"/>
        </w:rPr>
        <w:t>应用统计专业</w:t>
      </w:r>
      <w:r>
        <w:rPr>
          <w:rFonts w:cs="Times New Roman" w:asciiTheme="minorEastAsia" w:hAnsiTheme="minorEastAsia" w:eastAsiaTheme="minorEastAsia"/>
          <w:color w:val="000000"/>
          <w:sz w:val="28"/>
          <w:szCs w:val="28"/>
        </w:rPr>
        <w:t>硕士</w:t>
      </w:r>
      <w:r>
        <w:rPr>
          <w:rFonts w:hint="eastAsia" w:cs="Times New Roman" w:asciiTheme="minorEastAsia" w:hAnsiTheme="minorEastAsia" w:eastAsiaTheme="minorEastAsia"/>
          <w:color w:val="000000"/>
          <w:sz w:val="28"/>
          <w:szCs w:val="28"/>
        </w:rPr>
        <w:t>授予</w:t>
      </w:r>
      <w:r>
        <w:rPr>
          <w:rFonts w:cs="Times New Roman" w:asciiTheme="minorEastAsia" w:hAnsiTheme="minorEastAsia" w:eastAsiaTheme="minorEastAsia"/>
          <w:color w:val="000000"/>
          <w:sz w:val="28"/>
          <w:szCs w:val="28"/>
        </w:rPr>
        <w:t>点总分为各单项指标得分按赋权重加权后的得分。</w:t>
      </w:r>
    </w:p>
    <w:p>
      <w:pPr>
        <w:pStyle w:val="3"/>
        <w:spacing w:before="0" w:beforeAutospacing="0" w:after="0" w:afterAutospacing="0" w:line="360" w:lineRule="auto"/>
        <w:ind w:left="105" w:leftChars="50" w:firstLine="420" w:firstLineChars="150"/>
        <w:rPr>
          <w:rFonts w:cs="Times New Roman" w:asciiTheme="minorEastAsia" w:hAnsiTheme="minorEastAsia" w:eastAsiaTheme="minorEastAsia"/>
          <w:color w:val="000000"/>
          <w:sz w:val="28"/>
          <w:szCs w:val="28"/>
        </w:rPr>
      </w:pPr>
      <w:r>
        <w:rPr>
          <w:rFonts w:hint="eastAsia" w:cs="Times New Roman" w:asciiTheme="minorEastAsia" w:hAnsiTheme="minorEastAsia" w:eastAsiaTheme="minorEastAsia"/>
          <w:color w:val="000000"/>
          <w:sz w:val="28"/>
          <w:szCs w:val="28"/>
        </w:rPr>
        <w:t>四、</w:t>
      </w:r>
      <w:r>
        <w:rPr>
          <w:rFonts w:cs="Times New Roman" w:asciiTheme="minorEastAsia" w:hAnsiTheme="minorEastAsia" w:eastAsiaTheme="minorEastAsia"/>
          <w:color w:val="000000"/>
          <w:sz w:val="28"/>
          <w:szCs w:val="28"/>
        </w:rPr>
        <w:t>评判结果及合格标准：总分≥70分为合格；否则，视为不合格。</w:t>
      </w:r>
    </w:p>
    <w:p>
      <w:pPr>
        <w:pStyle w:val="3"/>
        <w:spacing w:line="360" w:lineRule="auto"/>
        <w:rPr>
          <w:rFonts w:cs="Times New Roman" w:asciiTheme="minorEastAsia" w:hAnsiTheme="minorEastAsia" w:eastAsiaTheme="minorEastAsia"/>
          <w:color w:val="000000"/>
        </w:rPr>
      </w:pPr>
    </w:p>
    <w:p>
      <w:pPr>
        <w:spacing w:line="480" w:lineRule="exact"/>
        <w:rPr>
          <w:rFonts w:asciiTheme="minorEastAsia" w:hAnsiTheme="minorEastAsia"/>
          <w:bCs/>
          <w:sz w:val="30"/>
          <w:szCs w:val="30"/>
        </w:rPr>
      </w:pPr>
    </w:p>
    <w:p>
      <w:pPr>
        <w:spacing w:line="480" w:lineRule="exact"/>
        <w:rPr>
          <w:rFonts w:asciiTheme="minorEastAsia" w:hAnsiTheme="minorEastAsia"/>
          <w:bCs/>
          <w:sz w:val="30"/>
          <w:szCs w:val="30"/>
        </w:rPr>
      </w:pPr>
    </w:p>
    <w:p>
      <w:pPr>
        <w:spacing w:line="480" w:lineRule="exact"/>
        <w:rPr>
          <w:rFonts w:asciiTheme="minorEastAsia" w:hAnsiTheme="minorEastAsia"/>
          <w:bCs/>
          <w:sz w:val="30"/>
          <w:szCs w:val="30"/>
        </w:rPr>
      </w:pPr>
    </w:p>
    <w:p>
      <w:pPr>
        <w:spacing w:line="480" w:lineRule="exact"/>
        <w:jc w:val="left"/>
        <w:rPr>
          <w:rFonts w:asciiTheme="minorEastAsia" w:hAnsiTheme="minorEastAsia"/>
          <w:b/>
          <w:bCs/>
          <w:sz w:val="30"/>
          <w:szCs w:val="30"/>
        </w:rPr>
      </w:pPr>
      <w:r>
        <w:rPr>
          <w:rFonts w:asciiTheme="minorEastAsia" w:hAnsiTheme="minorEastAsia"/>
          <w:b/>
          <w:bCs/>
          <w:sz w:val="30"/>
          <w:szCs w:val="30"/>
        </w:rPr>
        <w:t>附件3：</w:t>
      </w:r>
    </w:p>
    <w:p>
      <w:pPr>
        <w:spacing w:afterLines="50" w:line="560" w:lineRule="exact"/>
        <w:jc w:val="center"/>
        <w:rPr>
          <w:rFonts w:asciiTheme="minorEastAsia" w:hAnsiTheme="minorEastAsia"/>
          <w:b/>
          <w:sz w:val="44"/>
          <w:szCs w:val="44"/>
        </w:rPr>
      </w:pPr>
    </w:p>
    <w:p>
      <w:pPr>
        <w:spacing w:afterLines="50" w:line="560" w:lineRule="exact"/>
        <w:jc w:val="center"/>
        <w:rPr>
          <w:rFonts w:asciiTheme="minorEastAsia" w:hAnsiTheme="minorEastAsia"/>
          <w:b/>
          <w:sz w:val="52"/>
          <w:szCs w:val="52"/>
        </w:rPr>
      </w:pPr>
    </w:p>
    <w:p>
      <w:pPr>
        <w:spacing w:afterLines="50" w:line="560" w:lineRule="exact"/>
        <w:jc w:val="center"/>
        <w:rPr>
          <w:rFonts w:asciiTheme="minorEastAsia" w:hAnsiTheme="minorEastAsia"/>
          <w:b/>
          <w:sz w:val="44"/>
          <w:szCs w:val="44"/>
        </w:rPr>
      </w:pPr>
      <w:r>
        <w:rPr>
          <w:rFonts w:hint="eastAsia" w:asciiTheme="minorEastAsia" w:hAnsiTheme="minorEastAsia"/>
          <w:b/>
          <w:sz w:val="44"/>
          <w:szCs w:val="44"/>
        </w:rPr>
        <w:t>应用统计</w:t>
      </w:r>
      <w:r>
        <w:rPr>
          <w:rFonts w:asciiTheme="minorEastAsia" w:hAnsiTheme="minorEastAsia"/>
          <w:b/>
          <w:sz w:val="44"/>
          <w:szCs w:val="44"/>
        </w:rPr>
        <w:t>专业学位授权点自我评估</w:t>
      </w:r>
    </w:p>
    <w:p>
      <w:pPr>
        <w:spacing w:afterLines="50" w:line="560" w:lineRule="exact"/>
        <w:jc w:val="center"/>
        <w:rPr>
          <w:rFonts w:asciiTheme="minorEastAsia" w:hAnsiTheme="minorEastAsia"/>
          <w:b/>
          <w:sz w:val="44"/>
          <w:szCs w:val="44"/>
        </w:rPr>
      </w:pPr>
      <w:r>
        <w:rPr>
          <w:rFonts w:asciiTheme="minorEastAsia" w:hAnsiTheme="minorEastAsia"/>
          <w:b/>
          <w:sz w:val="44"/>
          <w:szCs w:val="44"/>
        </w:rPr>
        <w:t>总结报告</w:t>
      </w:r>
    </w:p>
    <w:p>
      <w:pPr>
        <w:spacing w:afterLines="50" w:line="560" w:lineRule="exact"/>
        <w:jc w:val="center"/>
        <w:rPr>
          <w:rFonts w:asciiTheme="minorEastAsia" w:hAnsiTheme="minorEastAsia"/>
          <w:b/>
          <w:sz w:val="44"/>
          <w:szCs w:val="44"/>
        </w:rPr>
      </w:pPr>
    </w:p>
    <w:p>
      <w:pPr>
        <w:spacing w:afterLines="50" w:line="560" w:lineRule="exact"/>
        <w:jc w:val="center"/>
        <w:rPr>
          <w:rFonts w:asciiTheme="minorEastAsia" w:hAnsiTheme="minorEastAsia"/>
          <w:b/>
          <w:sz w:val="44"/>
          <w:szCs w:val="44"/>
        </w:rPr>
      </w:pPr>
    </w:p>
    <w:p>
      <w:pPr>
        <w:spacing w:afterLines="50" w:line="560" w:lineRule="exact"/>
        <w:jc w:val="center"/>
        <w:rPr>
          <w:rFonts w:asciiTheme="minorEastAsia" w:hAnsiTheme="minorEastAsia"/>
          <w:b/>
          <w:sz w:val="44"/>
          <w:szCs w:val="44"/>
        </w:rPr>
      </w:pPr>
    </w:p>
    <w:p>
      <w:pPr>
        <w:spacing w:afterLines="50" w:line="560" w:lineRule="exact"/>
        <w:jc w:val="center"/>
        <w:rPr>
          <w:rFonts w:asciiTheme="minorEastAsia" w:hAnsiTheme="minorEastAsia"/>
          <w:b/>
          <w:sz w:val="44"/>
          <w:szCs w:val="44"/>
        </w:rPr>
      </w:pPr>
    </w:p>
    <w:tbl>
      <w:tblPr>
        <w:tblStyle w:val="5"/>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c>
          <w:tcPr>
            <w:tcW w:w="2160" w:type="dxa"/>
            <w:vMerge w:val="restart"/>
            <w:shd w:val="clear" w:color="auto" w:fill="auto"/>
            <w:vAlign w:val="center"/>
          </w:tcPr>
          <w:p>
            <w:pPr>
              <w:spacing w:line="200" w:lineRule="atLeast"/>
              <w:jc w:val="distribute"/>
              <w:rPr>
                <w:rFonts w:asciiTheme="minorEastAsia" w:hAnsiTheme="minorEastAsia"/>
                <w:b/>
                <w:sz w:val="30"/>
                <w:szCs w:val="30"/>
              </w:rPr>
            </w:pPr>
            <w:r>
              <w:rPr>
                <w:rFonts w:asciiTheme="minorEastAsia" w:hAnsiTheme="minorEastAsia"/>
                <w:b/>
                <w:sz w:val="30"/>
                <w:szCs w:val="30"/>
              </w:rPr>
              <w:t>学位授予单位</w:t>
            </w:r>
          </w:p>
        </w:tc>
        <w:tc>
          <w:tcPr>
            <w:tcW w:w="2880" w:type="dxa"/>
            <w:tcBorders>
              <w:bottom w:val="single" w:color="auto" w:sz="4" w:space="0"/>
            </w:tcBorders>
            <w:shd w:val="clear" w:color="auto" w:fill="auto"/>
            <w:vAlign w:val="center"/>
          </w:tcPr>
          <w:p>
            <w:pPr>
              <w:rPr>
                <w:rFonts w:asciiTheme="minorEastAsia" w:hAnsiTheme="minorEastAsia"/>
                <w:b/>
                <w:sz w:val="30"/>
                <w:szCs w:val="30"/>
              </w:rPr>
            </w:pPr>
            <w:r>
              <w:rPr>
                <w:rFonts w:asciiTheme="minorEastAsia" w:hAnsiTheme="minorEastAsia"/>
                <w:b/>
                <w:sz w:val="30"/>
                <w:szCs w:val="30"/>
              </w:rPr>
              <w:t>名称：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c>
          <w:tcPr>
            <w:tcW w:w="2160" w:type="dxa"/>
            <w:vMerge w:val="continue"/>
            <w:shd w:val="clear" w:color="auto" w:fill="auto"/>
          </w:tcPr>
          <w:p>
            <w:pPr>
              <w:jc w:val="center"/>
              <w:rPr>
                <w:rFonts w:asciiTheme="minorEastAsia" w:hAnsiTheme="minorEastAsia"/>
                <w:b/>
                <w:sz w:val="30"/>
                <w:szCs w:val="30"/>
              </w:rPr>
            </w:pPr>
          </w:p>
        </w:tc>
        <w:tc>
          <w:tcPr>
            <w:tcW w:w="2880" w:type="dxa"/>
            <w:tcBorders>
              <w:top w:val="single" w:color="auto" w:sz="4" w:space="0"/>
            </w:tcBorders>
            <w:shd w:val="clear" w:color="auto" w:fill="auto"/>
            <w:vAlign w:val="center"/>
          </w:tcPr>
          <w:p>
            <w:pPr>
              <w:rPr>
                <w:rFonts w:asciiTheme="minorEastAsia" w:hAnsiTheme="minorEastAsia"/>
                <w:b/>
                <w:sz w:val="30"/>
                <w:szCs w:val="30"/>
              </w:rPr>
            </w:pPr>
            <w:r>
              <w:rPr>
                <w:rFonts w:asciiTheme="minorEastAsia" w:hAnsiTheme="minorEastAsia"/>
                <w:b/>
                <w:sz w:val="30"/>
                <w:szCs w:val="30"/>
              </w:rPr>
              <w:t>代码：</w:t>
            </w:r>
          </w:p>
        </w:tc>
      </w:tr>
    </w:tbl>
    <w:p>
      <w:pPr>
        <w:spacing w:line="720" w:lineRule="auto"/>
        <w:jc w:val="center"/>
        <w:rPr>
          <w:rFonts w:asciiTheme="minorEastAsia" w:hAnsiTheme="minorEastAsia"/>
          <w:b/>
          <w:sz w:val="30"/>
          <w:szCs w:val="30"/>
        </w:rPr>
      </w:pPr>
    </w:p>
    <w:tbl>
      <w:tblPr>
        <w:tblStyle w:val="5"/>
        <w:tblW w:w="5835" w:type="dxa"/>
        <w:jc w:val="center"/>
        <w:tblInd w:w="0" w:type="dxa"/>
        <w:tblLayout w:type="fixed"/>
        <w:tblCellMar>
          <w:top w:w="0" w:type="dxa"/>
          <w:left w:w="108" w:type="dxa"/>
          <w:bottom w:w="0" w:type="dxa"/>
          <w:right w:w="108" w:type="dxa"/>
        </w:tblCellMar>
      </w:tblPr>
      <w:tblGrid>
        <w:gridCol w:w="2545"/>
        <w:gridCol w:w="3290"/>
      </w:tblGrid>
      <w:tr>
        <w:tblPrEx>
          <w:tblLayout w:type="fixed"/>
          <w:tblCellMar>
            <w:top w:w="0" w:type="dxa"/>
            <w:left w:w="108" w:type="dxa"/>
            <w:bottom w:w="0" w:type="dxa"/>
            <w:right w:w="108" w:type="dxa"/>
          </w:tblCellMar>
        </w:tblPrEx>
        <w:trPr>
          <w:jc w:val="center"/>
        </w:trPr>
        <w:tc>
          <w:tcPr>
            <w:tcW w:w="2545" w:type="dxa"/>
            <w:vMerge w:val="restart"/>
            <w:tcBorders>
              <w:top w:val="nil"/>
              <w:left w:val="nil"/>
              <w:right w:val="single" w:color="auto" w:sz="4" w:space="0"/>
            </w:tcBorders>
            <w:vAlign w:val="center"/>
          </w:tcPr>
          <w:p>
            <w:pPr>
              <w:spacing w:line="200" w:lineRule="atLeast"/>
              <w:jc w:val="center"/>
              <w:rPr>
                <w:rFonts w:asciiTheme="minorEastAsia" w:hAnsiTheme="minorEastAsia"/>
                <w:b/>
                <w:bCs/>
                <w:sz w:val="30"/>
                <w:szCs w:val="30"/>
              </w:rPr>
            </w:pPr>
            <w:r>
              <w:rPr>
                <w:rFonts w:asciiTheme="minorEastAsia" w:hAnsiTheme="minorEastAsia"/>
                <w:b/>
                <w:bCs/>
                <w:sz w:val="30"/>
                <w:szCs w:val="30"/>
              </w:rPr>
              <w:t xml:space="preserve">  联 系 方 式</w:t>
            </w:r>
          </w:p>
        </w:tc>
        <w:tc>
          <w:tcPr>
            <w:tcW w:w="3290" w:type="dxa"/>
            <w:tcBorders>
              <w:top w:val="nil"/>
              <w:left w:val="single" w:color="auto" w:sz="4" w:space="0"/>
              <w:bottom w:val="single" w:color="auto" w:sz="4" w:space="0"/>
              <w:right w:val="nil"/>
            </w:tcBorders>
            <w:vAlign w:val="center"/>
          </w:tcPr>
          <w:p>
            <w:pPr>
              <w:rPr>
                <w:rFonts w:asciiTheme="minorEastAsia" w:hAnsiTheme="minorEastAsia"/>
                <w:b/>
                <w:bCs/>
                <w:sz w:val="30"/>
                <w:szCs w:val="30"/>
              </w:rPr>
            </w:pPr>
            <w:r>
              <w:rPr>
                <w:rFonts w:asciiTheme="minorEastAsia" w:hAnsiTheme="minorEastAsia"/>
                <w:b/>
                <w:bCs/>
                <w:sz w:val="30"/>
                <w:szCs w:val="30"/>
              </w:rPr>
              <w:t>姓名：</w:t>
            </w:r>
          </w:p>
        </w:tc>
      </w:tr>
      <w:tr>
        <w:tblPrEx>
          <w:tblLayout w:type="fixed"/>
          <w:tblCellMar>
            <w:top w:w="0" w:type="dxa"/>
            <w:left w:w="108" w:type="dxa"/>
            <w:bottom w:w="0" w:type="dxa"/>
            <w:right w:w="108" w:type="dxa"/>
          </w:tblCellMar>
        </w:tblPrEx>
        <w:trPr>
          <w:jc w:val="center"/>
        </w:trPr>
        <w:tc>
          <w:tcPr>
            <w:tcW w:w="2545" w:type="dxa"/>
            <w:vMerge w:val="continue"/>
            <w:tcBorders>
              <w:left w:val="nil"/>
              <w:bottom w:val="nil"/>
              <w:right w:val="single" w:color="auto" w:sz="4" w:space="0"/>
            </w:tcBorders>
            <w:vAlign w:val="center"/>
          </w:tcPr>
          <w:p>
            <w:pPr>
              <w:widowControl/>
              <w:jc w:val="center"/>
              <w:rPr>
                <w:rFonts w:asciiTheme="minorEastAsia" w:hAnsiTheme="minorEastAsia"/>
                <w:b/>
                <w:bCs/>
                <w:sz w:val="30"/>
                <w:szCs w:val="30"/>
              </w:rPr>
            </w:pPr>
          </w:p>
        </w:tc>
        <w:tc>
          <w:tcPr>
            <w:tcW w:w="3290" w:type="dxa"/>
            <w:tcBorders>
              <w:top w:val="single" w:color="auto" w:sz="4" w:space="0"/>
              <w:left w:val="single" w:color="auto" w:sz="4" w:space="0"/>
              <w:bottom w:val="nil"/>
              <w:right w:val="nil"/>
            </w:tcBorders>
            <w:vAlign w:val="center"/>
          </w:tcPr>
          <w:p>
            <w:pPr>
              <w:rPr>
                <w:rFonts w:asciiTheme="minorEastAsia" w:hAnsiTheme="minorEastAsia"/>
                <w:b/>
                <w:bCs/>
                <w:sz w:val="30"/>
                <w:szCs w:val="30"/>
              </w:rPr>
            </w:pPr>
            <w:r>
              <w:rPr>
                <w:rFonts w:asciiTheme="minorEastAsia" w:hAnsiTheme="minorEastAsia"/>
                <w:b/>
                <w:bCs/>
                <w:sz w:val="30"/>
                <w:szCs w:val="30"/>
              </w:rPr>
              <w:t>电话：</w:t>
            </w:r>
          </w:p>
        </w:tc>
      </w:tr>
    </w:tbl>
    <w:p>
      <w:pPr>
        <w:spacing w:line="720" w:lineRule="auto"/>
        <w:jc w:val="center"/>
        <w:rPr>
          <w:rFonts w:asciiTheme="minorEastAsia" w:hAnsiTheme="minorEastAsia"/>
          <w:b/>
          <w:sz w:val="30"/>
          <w:szCs w:val="30"/>
        </w:rPr>
      </w:pPr>
    </w:p>
    <w:p>
      <w:pPr>
        <w:spacing w:line="720" w:lineRule="auto"/>
        <w:jc w:val="center"/>
        <w:rPr>
          <w:rFonts w:asciiTheme="minorEastAsia" w:hAnsiTheme="minorEastAsia"/>
          <w:b/>
          <w:sz w:val="30"/>
          <w:szCs w:val="30"/>
        </w:rPr>
      </w:pPr>
    </w:p>
    <w:p>
      <w:pPr>
        <w:spacing w:line="720" w:lineRule="auto"/>
        <w:jc w:val="center"/>
        <w:rPr>
          <w:rFonts w:asciiTheme="minorEastAsia" w:hAnsiTheme="minorEastAsia"/>
          <w:b/>
          <w:sz w:val="30"/>
          <w:szCs w:val="30"/>
        </w:rPr>
      </w:pPr>
    </w:p>
    <w:p>
      <w:pPr>
        <w:jc w:val="center"/>
        <w:rPr>
          <w:rFonts w:asciiTheme="minorEastAsia" w:hAnsiTheme="minorEastAsia"/>
          <w:b/>
          <w:sz w:val="30"/>
          <w:szCs w:val="30"/>
        </w:rPr>
      </w:pPr>
      <w:r>
        <w:rPr>
          <w:rFonts w:asciiTheme="minorEastAsia" w:hAnsiTheme="minorEastAsia"/>
          <w:b/>
          <w:sz w:val="30"/>
          <w:szCs w:val="30"/>
        </w:rPr>
        <w:t>201</w:t>
      </w:r>
      <w:r>
        <w:rPr>
          <w:rFonts w:hint="eastAsia" w:asciiTheme="minorEastAsia" w:hAnsiTheme="minorEastAsia"/>
          <w:b/>
          <w:sz w:val="30"/>
          <w:szCs w:val="30"/>
        </w:rPr>
        <w:t>5</w:t>
      </w:r>
      <w:r>
        <w:rPr>
          <w:rFonts w:asciiTheme="minorEastAsia" w:hAnsiTheme="minorEastAsia"/>
          <w:b/>
          <w:sz w:val="30"/>
          <w:szCs w:val="30"/>
        </w:rPr>
        <w:t>年  月  日</w:t>
      </w:r>
    </w:p>
    <w:p>
      <w:pPr>
        <w:spacing w:afterLines="50" w:line="400" w:lineRule="exact"/>
        <w:jc w:val="center"/>
        <w:rPr>
          <w:rFonts w:asciiTheme="minorEastAsia" w:hAnsiTheme="minorEastAsia"/>
          <w:b/>
          <w:sz w:val="32"/>
          <w:szCs w:val="32"/>
        </w:rPr>
      </w:pPr>
      <w:r>
        <w:rPr>
          <w:rFonts w:asciiTheme="minorEastAsia" w:hAnsiTheme="minorEastAsia"/>
          <w:b/>
          <w:sz w:val="44"/>
          <w:szCs w:val="44"/>
        </w:rPr>
        <w:br w:type="page"/>
      </w:r>
      <w:r>
        <w:rPr>
          <w:rFonts w:asciiTheme="minorEastAsia" w:hAnsiTheme="minorEastAsia"/>
          <w:b/>
          <w:sz w:val="32"/>
          <w:szCs w:val="32"/>
        </w:rPr>
        <w:t>编 写 说 明</w:t>
      </w:r>
    </w:p>
    <w:p>
      <w:pPr>
        <w:spacing w:afterLines="50" w:line="400" w:lineRule="exact"/>
        <w:jc w:val="center"/>
        <w:rPr>
          <w:rFonts w:asciiTheme="minorEastAsia" w:hAnsiTheme="minorEastAsia"/>
          <w:b/>
          <w:sz w:val="32"/>
          <w:szCs w:val="32"/>
        </w:rPr>
      </w:pPr>
    </w:p>
    <w:p>
      <w:pPr>
        <w:spacing w:line="400" w:lineRule="exact"/>
        <w:ind w:firstLine="480" w:firstLineChars="200"/>
        <w:rPr>
          <w:rFonts w:asciiTheme="minorEastAsia" w:hAnsiTheme="minorEastAsia"/>
          <w:sz w:val="24"/>
        </w:rPr>
      </w:pPr>
      <w:r>
        <w:rPr>
          <w:rFonts w:asciiTheme="minorEastAsia" w:hAnsiTheme="minorEastAsia"/>
          <w:sz w:val="24"/>
        </w:rPr>
        <w:t>一、本报告是在参评单位完成自我评估后，根据评估结果和专家评议意见，对学位授权点的全面总结，主要包括三部分：学位授权点基本情况、自我评估工作开展情况和持续改进计划。</w:t>
      </w:r>
    </w:p>
    <w:p>
      <w:pPr>
        <w:spacing w:line="400" w:lineRule="exact"/>
        <w:ind w:firstLine="480" w:firstLineChars="200"/>
        <w:rPr>
          <w:rFonts w:asciiTheme="minorEastAsia" w:hAnsiTheme="minorEastAsia"/>
          <w:sz w:val="24"/>
        </w:rPr>
      </w:pPr>
      <w:r>
        <w:rPr>
          <w:rFonts w:asciiTheme="minorEastAsia" w:hAnsiTheme="minorEastAsia"/>
          <w:sz w:val="24"/>
        </w:rPr>
        <w:t>二、封面中单位代码按照《高等学校和科研机构学位与研究生管理信息标准》（国务院学位委员会办公室编，2004年3月北京大学出版社出版）中教育部《高等学校代码》（包括高等学校与科研机构）填写。</w:t>
      </w:r>
    </w:p>
    <w:p>
      <w:pPr>
        <w:spacing w:line="400" w:lineRule="exact"/>
        <w:ind w:firstLine="488" w:firstLineChars="200"/>
        <w:rPr>
          <w:rFonts w:asciiTheme="minorEastAsia" w:hAnsiTheme="minorEastAsia"/>
          <w:sz w:val="24"/>
        </w:rPr>
      </w:pPr>
      <w:r>
        <w:rPr>
          <w:rFonts w:asciiTheme="minorEastAsia" w:hAnsiTheme="minorEastAsia"/>
          <w:spacing w:val="2"/>
          <w:sz w:val="24"/>
        </w:rPr>
        <w:t>三、本报告采取写实性描述，能用数据定量描述的不要作定性描述。定量数据除总量外，尽可能用师均、生均或比例描述。报告中所描述的内容和数据应确属本学位点，必须真实、</w:t>
      </w:r>
      <w:r>
        <w:rPr>
          <w:rFonts w:asciiTheme="minorEastAsia" w:hAnsiTheme="minorEastAsia"/>
          <w:sz w:val="24"/>
        </w:rPr>
        <w:t>准确，有据可查。</w:t>
      </w:r>
    </w:p>
    <w:p>
      <w:pPr>
        <w:spacing w:line="400" w:lineRule="exact"/>
        <w:ind w:firstLine="480" w:firstLineChars="200"/>
        <w:rPr>
          <w:rFonts w:asciiTheme="minorEastAsia" w:hAnsiTheme="minorEastAsia"/>
          <w:spacing w:val="2"/>
          <w:sz w:val="24"/>
        </w:rPr>
      </w:pPr>
      <w:r>
        <w:rPr>
          <w:rFonts w:asciiTheme="minorEastAsia" w:hAnsiTheme="minorEastAsia"/>
          <w:sz w:val="24"/>
        </w:rPr>
        <w:t>四、本报告的</w:t>
      </w:r>
      <w:r>
        <w:rPr>
          <w:rFonts w:asciiTheme="minorEastAsia" w:hAnsiTheme="minorEastAsia"/>
          <w:spacing w:val="2"/>
          <w:sz w:val="24"/>
        </w:rPr>
        <w:t>各项内容须是本学位点</w:t>
      </w:r>
      <w:r>
        <w:rPr>
          <w:rFonts w:hint="eastAsia" w:asciiTheme="minorEastAsia" w:hAnsiTheme="minorEastAsia"/>
          <w:spacing w:val="2"/>
          <w:sz w:val="24"/>
        </w:rPr>
        <w:t>获得授予权以</w:t>
      </w:r>
      <w:r>
        <w:rPr>
          <w:rFonts w:asciiTheme="minorEastAsia" w:hAnsiTheme="minorEastAsia"/>
          <w:spacing w:val="2"/>
          <w:sz w:val="24"/>
        </w:rPr>
        <w:t>来的情况，统计时间以本报告撰写时间为截止时间。</w:t>
      </w:r>
    </w:p>
    <w:p>
      <w:pPr>
        <w:spacing w:line="400" w:lineRule="exact"/>
        <w:ind w:firstLine="540" w:firstLineChars="225"/>
        <w:rPr>
          <w:rFonts w:asciiTheme="minorEastAsia" w:hAnsiTheme="minorEastAsia"/>
          <w:sz w:val="24"/>
        </w:rPr>
      </w:pPr>
      <w:r>
        <w:rPr>
          <w:rFonts w:asciiTheme="minorEastAsia" w:hAnsiTheme="minorEastAsia"/>
          <w:sz w:val="24"/>
        </w:rPr>
        <w:t>五、除特别注明的兼职导师外，本报告所涉及的师资均指目前人事关系隶属本单位的专职人员（同一人员原则上不得在不同专业学位点重复填写）。</w:t>
      </w:r>
    </w:p>
    <w:p>
      <w:pPr>
        <w:spacing w:line="400" w:lineRule="exact"/>
        <w:ind w:firstLine="540" w:firstLineChars="225"/>
        <w:rPr>
          <w:rFonts w:asciiTheme="minorEastAsia" w:hAnsiTheme="minorEastAsia"/>
          <w:sz w:val="24"/>
        </w:rPr>
      </w:pPr>
      <w:r>
        <w:rPr>
          <w:rFonts w:asciiTheme="minorEastAsia" w:hAnsiTheme="minorEastAsia"/>
          <w:sz w:val="24"/>
        </w:rPr>
        <w:t>六、本报告中所涉及的成果（论文、专著、专利、科研奖励、教学成果奖励等）应是署名本单位，且同一人员的同一成果不得在不同专业学位点重复填写。引进人员在调入本学位点之前署名其他单位所获得的成果不填写、不统计。</w:t>
      </w:r>
    </w:p>
    <w:p>
      <w:pPr>
        <w:spacing w:line="400" w:lineRule="exact"/>
        <w:ind w:firstLine="480" w:firstLineChars="200"/>
        <w:rPr>
          <w:rFonts w:asciiTheme="minorEastAsia" w:hAnsiTheme="minorEastAsia"/>
          <w:spacing w:val="2"/>
          <w:sz w:val="24"/>
        </w:rPr>
      </w:pPr>
      <w:r>
        <w:rPr>
          <w:rFonts w:asciiTheme="minorEastAsia" w:hAnsiTheme="minorEastAsia"/>
          <w:sz w:val="24"/>
        </w:rPr>
        <w:t>七、</w:t>
      </w:r>
      <w:r>
        <w:rPr>
          <w:rFonts w:asciiTheme="minorEastAsia" w:hAnsiTheme="minorEastAsia"/>
          <w:spacing w:val="2"/>
          <w:sz w:val="24"/>
        </w:rPr>
        <w:t>涉及国家机密的内容一律按国家有关保密规定进行脱密处理后编写。</w:t>
      </w:r>
    </w:p>
    <w:p>
      <w:pPr>
        <w:spacing w:line="400" w:lineRule="exact"/>
        <w:ind w:firstLine="488" w:firstLineChars="200"/>
        <w:rPr>
          <w:rFonts w:asciiTheme="minorEastAsia" w:hAnsiTheme="minorEastAsia"/>
          <w:spacing w:val="2"/>
          <w:sz w:val="24"/>
        </w:rPr>
      </w:pPr>
      <w:r>
        <w:rPr>
          <w:rFonts w:asciiTheme="minorEastAsia" w:hAnsiTheme="minorEastAsia"/>
          <w:spacing w:val="2"/>
          <w:sz w:val="24"/>
        </w:rPr>
        <w:t>八、本报告文字使用四号宋体，字数不超过8000字，纸张限用A4。</w:t>
      </w:r>
    </w:p>
    <w:p>
      <w:pPr>
        <w:spacing w:line="400" w:lineRule="exact"/>
        <w:ind w:firstLine="488" w:firstLineChars="200"/>
        <w:rPr>
          <w:rFonts w:asciiTheme="minorEastAsia" w:hAnsiTheme="minorEastAsia"/>
          <w:spacing w:val="2"/>
          <w:sz w:val="24"/>
        </w:rPr>
      </w:pPr>
    </w:p>
    <w:p>
      <w:pPr>
        <w:widowControl/>
        <w:spacing w:before="100" w:beforeAutospacing="1" w:after="300" w:line="384" w:lineRule="atLeast"/>
        <w:jc w:val="left"/>
        <w:rPr>
          <w:rFonts w:ascii="宋体" w:hAnsi="宋体" w:eastAsia="宋体" w:cs="宋体"/>
          <w:color w:val="000000"/>
          <w:kern w:val="0"/>
          <w:sz w:val="28"/>
          <w:szCs w:val="28"/>
        </w:rPr>
      </w:pPr>
      <w:r>
        <w:rPr>
          <w:rFonts w:asciiTheme="minorEastAsia" w:hAnsiTheme="minorEastAsia"/>
          <w:spacing w:val="2"/>
          <w:sz w:val="24"/>
        </w:rPr>
        <w:br w:type="page"/>
      </w:r>
      <w:r>
        <w:rPr>
          <w:rFonts w:ascii="宋体" w:hAnsi="宋体" w:eastAsia="宋体" w:cs="宋体"/>
          <w:color w:val="000000"/>
          <w:kern w:val="0"/>
          <w:sz w:val="28"/>
          <w:szCs w:val="28"/>
        </w:rPr>
        <w:t>一、学位授权点基本情况</w:t>
      </w:r>
    </w:p>
    <w:p>
      <w:pPr>
        <w:widowControl/>
        <w:spacing w:before="100" w:beforeAutospacing="1" w:after="300" w:line="384" w:lineRule="atLeast"/>
        <w:jc w:val="left"/>
        <w:rPr>
          <w:rFonts w:ascii="宋体" w:hAnsi="宋体" w:eastAsia="宋体" w:cs="宋体"/>
          <w:color w:val="000000"/>
          <w:kern w:val="0"/>
          <w:sz w:val="28"/>
          <w:szCs w:val="28"/>
        </w:rPr>
      </w:pPr>
      <w:r>
        <w:rPr>
          <w:rFonts w:ascii="宋体" w:hAnsi="宋体" w:eastAsia="宋体" w:cs="宋体"/>
          <w:color w:val="000000"/>
          <w:kern w:val="0"/>
          <w:sz w:val="28"/>
          <w:szCs w:val="28"/>
        </w:rPr>
        <w:t>【本部分由学位授权点根据《</w:t>
      </w:r>
      <w:r>
        <w:rPr>
          <w:rFonts w:hint="eastAsia" w:ascii="宋体" w:hAnsi="宋体" w:eastAsia="宋体" w:cs="宋体"/>
          <w:color w:val="000000"/>
          <w:kern w:val="0"/>
          <w:sz w:val="28"/>
          <w:szCs w:val="28"/>
        </w:rPr>
        <w:t>应用统计</w:t>
      </w:r>
      <w:r>
        <w:rPr>
          <w:rFonts w:ascii="宋体" w:hAnsi="宋体" w:eastAsia="宋体" w:cs="宋体"/>
          <w:color w:val="000000"/>
          <w:kern w:val="0"/>
          <w:sz w:val="28"/>
          <w:szCs w:val="28"/>
        </w:rPr>
        <w:t>硕士专业学位授权点专项评估指标体系》的主要内容进行编写，但不局限于指标体系中所列的主要内容。编写时应体现本学位授权点的特色和人才培养水平，相关数据统计、清单列表可以使用图表表示。】</w:t>
      </w:r>
    </w:p>
    <w:p>
      <w:pPr>
        <w:widowControl/>
        <w:spacing w:before="100" w:beforeAutospacing="1" w:after="300" w:line="384" w:lineRule="atLeast"/>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注：除文字外，请专门附上以下表格</w:t>
      </w:r>
    </w:p>
    <w:p>
      <w:pPr>
        <w:spacing w:line="380" w:lineRule="exact"/>
        <w:jc w:val="center"/>
        <w:rPr>
          <w:rFonts w:asciiTheme="minorEastAsia" w:hAnsiTheme="minorEastAsia"/>
          <w:b/>
          <w:sz w:val="28"/>
          <w:szCs w:val="28"/>
        </w:rPr>
      </w:pPr>
      <w:r>
        <w:rPr>
          <w:rFonts w:hint="eastAsia" w:asciiTheme="minorEastAsia" w:hAnsiTheme="minorEastAsia"/>
          <w:b/>
          <w:sz w:val="28"/>
          <w:szCs w:val="28"/>
        </w:rPr>
        <w:t>表一：应用统计专业硕士基本情况</w:t>
      </w:r>
    </w:p>
    <w:tbl>
      <w:tblPr>
        <w:tblStyle w:val="5"/>
        <w:tblW w:w="92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21"/>
        <w:gridCol w:w="385"/>
        <w:gridCol w:w="561"/>
        <w:gridCol w:w="759"/>
        <w:gridCol w:w="762"/>
        <w:gridCol w:w="281"/>
        <w:gridCol w:w="1357"/>
        <w:gridCol w:w="1231"/>
        <w:gridCol w:w="15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jc w:val="center"/>
        </w:trPr>
        <w:tc>
          <w:tcPr>
            <w:tcW w:w="5157" w:type="dxa"/>
            <w:gridSpan w:val="7"/>
            <w:tcBorders>
              <w:top w:val="double" w:color="auto" w:sz="4" w:space="0"/>
              <w:bottom w:val="single" w:color="auto" w:sz="4" w:space="0"/>
            </w:tcBorders>
            <w:vAlign w:val="center"/>
          </w:tcPr>
          <w:p>
            <w:pPr>
              <w:spacing w:line="380" w:lineRule="exact"/>
              <w:jc w:val="center"/>
              <w:rPr>
                <w:rFonts w:asciiTheme="minorEastAsia" w:hAnsiTheme="minorEastAsia"/>
                <w:b/>
                <w:szCs w:val="21"/>
              </w:rPr>
            </w:pPr>
            <w:r>
              <w:rPr>
                <w:rFonts w:hint="eastAsia" w:asciiTheme="minorEastAsia" w:hAnsiTheme="minorEastAsia"/>
                <w:b/>
                <w:szCs w:val="21"/>
              </w:rPr>
              <w:t>应用统计专业学位授权点批准时间</w:t>
            </w:r>
          </w:p>
        </w:tc>
        <w:tc>
          <w:tcPr>
            <w:tcW w:w="4140" w:type="dxa"/>
            <w:gridSpan w:val="4"/>
            <w:tcBorders>
              <w:top w:val="double" w:color="auto" w:sz="4" w:space="0"/>
              <w:bottom w:val="single" w:color="auto" w:sz="4" w:space="0"/>
            </w:tcBorders>
            <w:vAlign w:val="center"/>
          </w:tcPr>
          <w:p>
            <w:pPr>
              <w:spacing w:line="380" w:lineRule="exact"/>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794" w:type="dxa"/>
            <w:gridSpan w:val="3"/>
            <w:vAlign w:val="center"/>
          </w:tcPr>
          <w:p>
            <w:pPr>
              <w:spacing w:line="380" w:lineRule="exact"/>
              <w:jc w:val="center"/>
              <w:rPr>
                <w:rFonts w:asciiTheme="minorEastAsia" w:hAnsiTheme="minorEastAsia"/>
                <w:b/>
                <w:szCs w:val="21"/>
              </w:rPr>
            </w:pPr>
            <w:r>
              <w:rPr>
                <w:rFonts w:hint="eastAsia" w:asciiTheme="minorEastAsia" w:hAnsiTheme="minorEastAsia"/>
                <w:b/>
                <w:szCs w:val="21"/>
              </w:rPr>
              <w:t>单位名称</w:t>
            </w:r>
          </w:p>
        </w:tc>
        <w:tc>
          <w:tcPr>
            <w:tcW w:w="3720" w:type="dxa"/>
            <w:gridSpan w:val="5"/>
            <w:tcBorders>
              <w:right w:val="single" w:color="auto" w:sz="2" w:space="0"/>
            </w:tcBorders>
            <w:vAlign w:val="center"/>
          </w:tcPr>
          <w:p>
            <w:pPr>
              <w:spacing w:line="380" w:lineRule="exact"/>
              <w:jc w:val="center"/>
              <w:rPr>
                <w:rFonts w:asciiTheme="minorEastAsia" w:hAnsiTheme="minorEastAsia"/>
                <w:b/>
                <w:szCs w:val="21"/>
              </w:rPr>
            </w:pPr>
          </w:p>
        </w:tc>
        <w:tc>
          <w:tcPr>
            <w:tcW w:w="1381" w:type="dxa"/>
            <w:gridSpan w:val="2"/>
            <w:tcBorders>
              <w:left w:val="single" w:color="auto" w:sz="2" w:space="0"/>
              <w:right w:val="single" w:color="auto" w:sz="2" w:space="0"/>
            </w:tcBorders>
            <w:vAlign w:val="center"/>
          </w:tcPr>
          <w:p>
            <w:pPr>
              <w:spacing w:line="380" w:lineRule="exact"/>
              <w:jc w:val="center"/>
              <w:rPr>
                <w:rFonts w:asciiTheme="minorEastAsia" w:hAnsiTheme="minorEastAsia"/>
                <w:b/>
                <w:szCs w:val="21"/>
              </w:rPr>
            </w:pPr>
            <w:r>
              <w:rPr>
                <w:rFonts w:hint="eastAsia" w:asciiTheme="minorEastAsia" w:hAnsiTheme="minorEastAsia"/>
                <w:b/>
                <w:szCs w:val="21"/>
              </w:rPr>
              <w:t>负责人姓名</w:t>
            </w:r>
          </w:p>
        </w:tc>
        <w:tc>
          <w:tcPr>
            <w:tcW w:w="1402" w:type="dxa"/>
            <w:tcBorders>
              <w:left w:val="single" w:color="auto" w:sz="2" w:space="0"/>
            </w:tcBorders>
            <w:vAlign w:val="center"/>
          </w:tcPr>
          <w:p>
            <w:pPr>
              <w:spacing w:line="380" w:lineRule="exac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jc w:val="center"/>
        </w:trPr>
        <w:tc>
          <w:tcPr>
            <w:tcW w:w="688" w:type="dxa"/>
            <w:vAlign w:val="center"/>
          </w:tcPr>
          <w:p>
            <w:pPr>
              <w:spacing w:line="380" w:lineRule="exact"/>
              <w:jc w:val="center"/>
              <w:rPr>
                <w:rFonts w:asciiTheme="minorEastAsia" w:hAnsiTheme="minorEastAsia"/>
                <w:b/>
                <w:szCs w:val="21"/>
              </w:rPr>
            </w:pPr>
            <w:r>
              <w:rPr>
                <w:rFonts w:hint="eastAsia" w:asciiTheme="minorEastAsia" w:hAnsiTheme="minorEastAsia"/>
                <w:b/>
                <w:szCs w:val="21"/>
              </w:rPr>
              <w:t>职称</w:t>
            </w:r>
          </w:p>
        </w:tc>
        <w:tc>
          <w:tcPr>
            <w:tcW w:w="1721" w:type="dxa"/>
            <w:tcBorders>
              <w:right w:val="single" w:color="auto" w:sz="2" w:space="0"/>
            </w:tcBorders>
            <w:vAlign w:val="center"/>
          </w:tcPr>
          <w:p>
            <w:pPr>
              <w:spacing w:line="380" w:lineRule="exact"/>
              <w:jc w:val="center"/>
              <w:rPr>
                <w:rFonts w:asciiTheme="minorEastAsia" w:hAnsiTheme="minorEastAsia"/>
                <w:b/>
                <w:szCs w:val="21"/>
              </w:rPr>
            </w:pPr>
          </w:p>
        </w:tc>
        <w:tc>
          <w:tcPr>
            <w:tcW w:w="946" w:type="dxa"/>
            <w:gridSpan w:val="2"/>
            <w:tcBorders>
              <w:left w:val="single" w:color="auto" w:sz="2" w:space="0"/>
              <w:right w:val="single" w:color="auto" w:sz="2" w:space="0"/>
            </w:tcBorders>
            <w:vAlign w:val="center"/>
          </w:tcPr>
          <w:p>
            <w:pPr>
              <w:spacing w:line="380" w:lineRule="exact"/>
              <w:jc w:val="center"/>
              <w:rPr>
                <w:rFonts w:asciiTheme="minorEastAsia" w:hAnsiTheme="minorEastAsia"/>
                <w:b/>
                <w:szCs w:val="21"/>
              </w:rPr>
            </w:pPr>
            <w:r>
              <w:rPr>
                <w:rFonts w:hint="eastAsia" w:asciiTheme="minorEastAsia" w:hAnsiTheme="minorEastAsia"/>
                <w:b/>
                <w:szCs w:val="21"/>
              </w:rPr>
              <w:t>职务</w:t>
            </w:r>
          </w:p>
        </w:tc>
        <w:tc>
          <w:tcPr>
            <w:tcW w:w="1521" w:type="dxa"/>
            <w:gridSpan w:val="2"/>
            <w:tcBorders>
              <w:left w:val="single" w:color="auto" w:sz="2" w:space="0"/>
              <w:right w:val="single" w:color="auto" w:sz="2" w:space="0"/>
            </w:tcBorders>
            <w:vAlign w:val="center"/>
          </w:tcPr>
          <w:p>
            <w:pPr>
              <w:spacing w:line="380" w:lineRule="exact"/>
              <w:jc w:val="center"/>
              <w:rPr>
                <w:rFonts w:asciiTheme="minorEastAsia" w:hAnsiTheme="minorEastAsia"/>
                <w:b/>
                <w:szCs w:val="21"/>
              </w:rPr>
            </w:pPr>
          </w:p>
        </w:tc>
        <w:tc>
          <w:tcPr>
            <w:tcW w:w="1638" w:type="dxa"/>
            <w:gridSpan w:val="2"/>
            <w:tcBorders>
              <w:left w:val="single" w:color="auto" w:sz="2" w:space="0"/>
              <w:right w:val="single" w:color="auto" w:sz="2" w:space="0"/>
            </w:tcBorders>
            <w:vAlign w:val="center"/>
          </w:tcPr>
          <w:p>
            <w:pPr>
              <w:spacing w:line="380" w:lineRule="exact"/>
              <w:jc w:val="center"/>
              <w:rPr>
                <w:rFonts w:asciiTheme="minorEastAsia" w:hAnsiTheme="minorEastAsia"/>
                <w:b/>
                <w:szCs w:val="21"/>
              </w:rPr>
            </w:pPr>
            <w:r>
              <w:rPr>
                <w:rFonts w:hint="eastAsia" w:asciiTheme="minorEastAsia" w:hAnsiTheme="minorEastAsia"/>
                <w:b/>
                <w:szCs w:val="21"/>
              </w:rPr>
              <w:t>办公室电话</w:t>
            </w:r>
          </w:p>
        </w:tc>
        <w:tc>
          <w:tcPr>
            <w:tcW w:w="2783" w:type="dxa"/>
            <w:gridSpan w:val="3"/>
            <w:tcBorders>
              <w:left w:val="single" w:color="auto" w:sz="2" w:space="0"/>
            </w:tcBorders>
            <w:vAlign w:val="center"/>
          </w:tcPr>
          <w:p>
            <w:pPr>
              <w:spacing w:line="380" w:lineRule="exact"/>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688" w:type="dxa"/>
            <w:vAlign w:val="center"/>
          </w:tcPr>
          <w:p>
            <w:pPr>
              <w:spacing w:line="380" w:lineRule="exact"/>
              <w:jc w:val="center"/>
              <w:rPr>
                <w:rFonts w:asciiTheme="minorEastAsia" w:hAnsiTheme="minorEastAsia"/>
                <w:b/>
                <w:szCs w:val="21"/>
              </w:rPr>
            </w:pPr>
            <w:r>
              <w:rPr>
                <w:rFonts w:hint="eastAsia" w:asciiTheme="minorEastAsia" w:hAnsiTheme="minorEastAsia"/>
                <w:b/>
                <w:szCs w:val="21"/>
              </w:rPr>
              <w:t>传真</w:t>
            </w:r>
          </w:p>
        </w:tc>
        <w:tc>
          <w:tcPr>
            <w:tcW w:w="2667" w:type="dxa"/>
            <w:gridSpan w:val="3"/>
            <w:tcBorders>
              <w:right w:val="single" w:color="auto" w:sz="2" w:space="0"/>
            </w:tcBorders>
            <w:vAlign w:val="center"/>
          </w:tcPr>
          <w:p>
            <w:pPr>
              <w:spacing w:line="380" w:lineRule="exact"/>
              <w:rPr>
                <w:rFonts w:asciiTheme="minorEastAsia" w:hAnsiTheme="minorEastAsia"/>
                <w:b/>
                <w:szCs w:val="21"/>
              </w:rPr>
            </w:pPr>
          </w:p>
        </w:tc>
        <w:tc>
          <w:tcPr>
            <w:tcW w:w="759" w:type="dxa"/>
            <w:tcBorders>
              <w:left w:val="single" w:color="auto" w:sz="2" w:space="0"/>
              <w:right w:val="single" w:color="auto" w:sz="2" w:space="0"/>
            </w:tcBorders>
            <w:vAlign w:val="center"/>
          </w:tcPr>
          <w:p>
            <w:pPr>
              <w:spacing w:line="380" w:lineRule="exact"/>
              <w:jc w:val="center"/>
              <w:rPr>
                <w:rFonts w:asciiTheme="minorEastAsia" w:hAnsiTheme="minorEastAsia"/>
                <w:b/>
                <w:szCs w:val="21"/>
              </w:rPr>
            </w:pPr>
            <w:r>
              <w:rPr>
                <w:rFonts w:hint="eastAsia" w:asciiTheme="minorEastAsia" w:hAnsiTheme="minorEastAsia"/>
                <w:b/>
                <w:szCs w:val="21"/>
              </w:rPr>
              <w:t>手机</w:t>
            </w:r>
          </w:p>
        </w:tc>
        <w:tc>
          <w:tcPr>
            <w:tcW w:w="2400" w:type="dxa"/>
            <w:gridSpan w:val="3"/>
            <w:tcBorders>
              <w:left w:val="single" w:color="auto" w:sz="2" w:space="0"/>
              <w:right w:val="single" w:color="auto" w:sz="2" w:space="0"/>
            </w:tcBorders>
            <w:vAlign w:val="center"/>
          </w:tcPr>
          <w:p>
            <w:pPr>
              <w:spacing w:line="380" w:lineRule="exact"/>
              <w:jc w:val="center"/>
              <w:rPr>
                <w:rFonts w:asciiTheme="minorEastAsia" w:hAnsiTheme="minorEastAsia"/>
                <w:b/>
                <w:szCs w:val="21"/>
              </w:rPr>
            </w:pPr>
          </w:p>
        </w:tc>
        <w:tc>
          <w:tcPr>
            <w:tcW w:w="1231" w:type="dxa"/>
            <w:tcBorders>
              <w:left w:val="single" w:color="auto" w:sz="2" w:space="0"/>
              <w:right w:val="single" w:color="auto" w:sz="2" w:space="0"/>
            </w:tcBorders>
            <w:vAlign w:val="center"/>
          </w:tcPr>
          <w:p>
            <w:pPr>
              <w:spacing w:line="380" w:lineRule="exact"/>
              <w:jc w:val="center"/>
              <w:rPr>
                <w:rFonts w:asciiTheme="minorEastAsia" w:hAnsiTheme="minorEastAsia"/>
                <w:b/>
                <w:szCs w:val="21"/>
              </w:rPr>
            </w:pPr>
            <w:r>
              <w:rPr>
                <w:rFonts w:hint="eastAsia" w:asciiTheme="minorEastAsia" w:hAnsiTheme="minorEastAsia"/>
                <w:b/>
                <w:szCs w:val="21"/>
              </w:rPr>
              <w:t>电子邮箱</w:t>
            </w:r>
          </w:p>
        </w:tc>
        <w:tc>
          <w:tcPr>
            <w:tcW w:w="1552" w:type="dxa"/>
            <w:gridSpan w:val="2"/>
            <w:tcBorders>
              <w:left w:val="single" w:color="auto" w:sz="2" w:space="0"/>
            </w:tcBorders>
            <w:vAlign w:val="center"/>
          </w:tcPr>
          <w:p>
            <w:pPr>
              <w:spacing w:line="380" w:lineRule="exact"/>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jc w:val="center"/>
        </w:trPr>
        <w:tc>
          <w:tcPr>
            <w:tcW w:w="2409" w:type="dxa"/>
            <w:gridSpan w:val="2"/>
            <w:vAlign w:val="center"/>
          </w:tcPr>
          <w:p>
            <w:pPr>
              <w:spacing w:line="380" w:lineRule="exact"/>
              <w:jc w:val="center"/>
              <w:rPr>
                <w:rFonts w:asciiTheme="minorEastAsia" w:hAnsiTheme="minorEastAsia"/>
                <w:b/>
                <w:szCs w:val="21"/>
              </w:rPr>
            </w:pPr>
            <w:r>
              <w:rPr>
                <w:rFonts w:hint="eastAsia" w:asciiTheme="minorEastAsia" w:hAnsiTheme="minorEastAsia"/>
                <w:b/>
                <w:szCs w:val="21"/>
              </w:rPr>
              <w:t>专职教务秘书姓名</w:t>
            </w:r>
          </w:p>
        </w:tc>
        <w:tc>
          <w:tcPr>
            <w:tcW w:w="2467" w:type="dxa"/>
            <w:gridSpan w:val="4"/>
            <w:tcBorders>
              <w:right w:val="single" w:color="auto" w:sz="2" w:space="0"/>
            </w:tcBorders>
            <w:vAlign w:val="center"/>
          </w:tcPr>
          <w:p>
            <w:pPr>
              <w:spacing w:line="380" w:lineRule="exact"/>
              <w:jc w:val="center"/>
              <w:rPr>
                <w:rFonts w:asciiTheme="minorEastAsia" w:hAnsiTheme="minorEastAsia"/>
                <w:b/>
                <w:szCs w:val="21"/>
              </w:rPr>
            </w:pPr>
          </w:p>
        </w:tc>
        <w:tc>
          <w:tcPr>
            <w:tcW w:w="1638" w:type="dxa"/>
            <w:gridSpan w:val="2"/>
            <w:tcBorders>
              <w:left w:val="single" w:color="auto" w:sz="2" w:space="0"/>
              <w:right w:val="single" w:color="auto" w:sz="2" w:space="0"/>
            </w:tcBorders>
            <w:vAlign w:val="center"/>
          </w:tcPr>
          <w:p>
            <w:pPr>
              <w:spacing w:line="380" w:lineRule="exact"/>
              <w:jc w:val="center"/>
              <w:rPr>
                <w:rFonts w:asciiTheme="minorEastAsia" w:hAnsiTheme="minorEastAsia"/>
                <w:b/>
                <w:szCs w:val="21"/>
              </w:rPr>
            </w:pPr>
            <w:r>
              <w:rPr>
                <w:rFonts w:hint="eastAsia" w:asciiTheme="minorEastAsia" w:hAnsiTheme="minorEastAsia"/>
                <w:b/>
                <w:szCs w:val="21"/>
              </w:rPr>
              <w:t>办公室电话</w:t>
            </w:r>
          </w:p>
        </w:tc>
        <w:tc>
          <w:tcPr>
            <w:tcW w:w="2783" w:type="dxa"/>
            <w:gridSpan w:val="3"/>
            <w:tcBorders>
              <w:left w:val="single" w:color="auto" w:sz="2" w:space="0"/>
            </w:tcBorders>
            <w:vAlign w:val="center"/>
          </w:tcPr>
          <w:p>
            <w:pPr>
              <w:spacing w:line="380" w:lineRule="exact"/>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688" w:type="dxa"/>
            <w:tcBorders>
              <w:bottom w:val="double" w:color="auto" w:sz="4" w:space="0"/>
            </w:tcBorders>
            <w:vAlign w:val="center"/>
          </w:tcPr>
          <w:p>
            <w:pPr>
              <w:spacing w:line="380" w:lineRule="exact"/>
              <w:jc w:val="center"/>
              <w:rPr>
                <w:rFonts w:asciiTheme="minorEastAsia" w:hAnsiTheme="minorEastAsia"/>
                <w:b/>
                <w:szCs w:val="21"/>
              </w:rPr>
            </w:pPr>
            <w:r>
              <w:rPr>
                <w:rFonts w:hint="eastAsia" w:asciiTheme="minorEastAsia" w:hAnsiTheme="minorEastAsia"/>
                <w:b/>
                <w:szCs w:val="21"/>
              </w:rPr>
              <w:t>手机</w:t>
            </w:r>
          </w:p>
        </w:tc>
        <w:tc>
          <w:tcPr>
            <w:tcW w:w="4188" w:type="dxa"/>
            <w:gridSpan w:val="5"/>
            <w:tcBorders>
              <w:bottom w:val="double" w:color="auto" w:sz="4" w:space="0"/>
              <w:right w:val="single" w:color="auto" w:sz="2" w:space="0"/>
            </w:tcBorders>
            <w:vAlign w:val="center"/>
          </w:tcPr>
          <w:p>
            <w:pPr>
              <w:spacing w:line="380" w:lineRule="exact"/>
              <w:jc w:val="center"/>
              <w:rPr>
                <w:rFonts w:asciiTheme="minorEastAsia" w:hAnsiTheme="minorEastAsia"/>
                <w:b/>
                <w:szCs w:val="21"/>
              </w:rPr>
            </w:pPr>
          </w:p>
        </w:tc>
        <w:tc>
          <w:tcPr>
            <w:tcW w:w="1638" w:type="dxa"/>
            <w:gridSpan w:val="2"/>
            <w:tcBorders>
              <w:left w:val="single" w:color="auto" w:sz="2" w:space="0"/>
              <w:bottom w:val="double" w:color="auto" w:sz="4" w:space="0"/>
              <w:right w:val="single" w:color="auto" w:sz="2" w:space="0"/>
            </w:tcBorders>
            <w:vAlign w:val="center"/>
          </w:tcPr>
          <w:p>
            <w:pPr>
              <w:spacing w:line="380" w:lineRule="exact"/>
              <w:jc w:val="center"/>
              <w:rPr>
                <w:rFonts w:asciiTheme="minorEastAsia" w:hAnsiTheme="minorEastAsia"/>
                <w:b/>
                <w:szCs w:val="21"/>
              </w:rPr>
            </w:pPr>
            <w:r>
              <w:rPr>
                <w:rFonts w:hint="eastAsia" w:asciiTheme="minorEastAsia" w:hAnsiTheme="minorEastAsia"/>
                <w:b/>
                <w:szCs w:val="21"/>
              </w:rPr>
              <w:t>电子邮箱</w:t>
            </w:r>
          </w:p>
        </w:tc>
        <w:tc>
          <w:tcPr>
            <w:tcW w:w="2783" w:type="dxa"/>
            <w:gridSpan w:val="3"/>
            <w:tcBorders>
              <w:left w:val="single" w:color="auto" w:sz="2" w:space="0"/>
              <w:bottom w:val="double" w:color="auto" w:sz="4" w:space="0"/>
            </w:tcBorders>
            <w:vAlign w:val="center"/>
          </w:tcPr>
          <w:p>
            <w:pPr>
              <w:spacing w:line="380" w:lineRule="exact"/>
              <w:jc w:val="center"/>
              <w:rPr>
                <w:rFonts w:asciiTheme="minorEastAsia" w:hAnsiTheme="minorEastAsia"/>
                <w:b/>
                <w:szCs w:val="21"/>
              </w:rPr>
            </w:pPr>
          </w:p>
        </w:tc>
      </w:tr>
    </w:tbl>
    <w:p>
      <w:pPr>
        <w:spacing w:beforeLines="50" w:line="380" w:lineRule="exact"/>
        <w:jc w:val="center"/>
        <w:rPr>
          <w:rFonts w:asciiTheme="minorEastAsia" w:hAnsiTheme="minorEastAsia"/>
          <w:b/>
          <w:sz w:val="28"/>
          <w:szCs w:val="28"/>
        </w:rPr>
      </w:pPr>
      <w:r>
        <w:rPr>
          <w:rFonts w:hint="eastAsia" w:asciiTheme="minorEastAsia" w:hAnsiTheme="minorEastAsia"/>
          <w:b/>
          <w:sz w:val="28"/>
          <w:szCs w:val="28"/>
        </w:rPr>
        <w:t>表二：在编人员情况</w:t>
      </w:r>
    </w:p>
    <w:tbl>
      <w:tblPr>
        <w:tblStyle w:val="5"/>
        <w:tblW w:w="9749" w:type="dxa"/>
        <w:tblInd w:w="-681" w:type="dxa"/>
        <w:tblLayout w:type="fixed"/>
        <w:tblCellMar>
          <w:top w:w="6" w:type="dxa"/>
          <w:left w:w="28" w:type="dxa"/>
          <w:bottom w:w="0" w:type="dxa"/>
          <w:right w:w="28" w:type="dxa"/>
        </w:tblCellMar>
      </w:tblPr>
      <w:tblGrid>
        <w:gridCol w:w="3115"/>
        <w:gridCol w:w="788"/>
        <w:gridCol w:w="744"/>
        <w:gridCol w:w="709"/>
        <w:gridCol w:w="801"/>
        <w:gridCol w:w="838"/>
        <w:gridCol w:w="796"/>
        <w:gridCol w:w="976"/>
        <w:gridCol w:w="982"/>
      </w:tblGrid>
      <w:tr>
        <w:tblPrEx>
          <w:tblLayout w:type="fixed"/>
          <w:tblCellMar>
            <w:top w:w="6" w:type="dxa"/>
            <w:left w:w="28" w:type="dxa"/>
            <w:bottom w:w="0" w:type="dxa"/>
            <w:right w:w="28" w:type="dxa"/>
          </w:tblCellMar>
        </w:tblPrEx>
        <w:trPr>
          <w:trHeight w:val="340" w:hRule="atLeast"/>
        </w:trPr>
        <w:tc>
          <w:tcPr>
            <w:tcW w:w="3115"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80" w:lineRule="exact"/>
              <w:jc w:val="center"/>
              <w:rPr>
                <w:rFonts w:asciiTheme="minorEastAsia" w:hAnsiTheme="minorEastAsia"/>
                <w:b/>
                <w:szCs w:val="21"/>
              </w:rPr>
            </w:pPr>
            <w:r>
              <w:rPr>
                <w:rFonts w:hint="eastAsia" w:asciiTheme="minorEastAsia" w:hAnsiTheme="minorEastAsia"/>
                <w:b/>
                <w:szCs w:val="21"/>
              </w:rPr>
              <w:t>专业技术职务</w:t>
            </w:r>
          </w:p>
        </w:tc>
        <w:tc>
          <w:tcPr>
            <w:tcW w:w="788"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r>
              <w:rPr>
                <w:rFonts w:hint="eastAsia" w:asciiTheme="minorEastAsia" w:hAnsiTheme="minorEastAsia"/>
                <w:b/>
                <w:szCs w:val="21"/>
              </w:rPr>
              <w:t>人数</w:t>
            </w:r>
          </w:p>
          <w:p>
            <w:pPr>
              <w:spacing w:line="380" w:lineRule="exact"/>
              <w:jc w:val="center"/>
              <w:rPr>
                <w:rFonts w:asciiTheme="minorEastAsia" w:hAnsiTheme="minorEastAsia"/>
                <w:b/>
                <w:szCs w:val="21"/>
              </w:rPr>
            </w:pPr>
            <w:r>
              <w:rPr>
                <w:rFonts w:hint="eastAsia" w:asciiTheme="minorEastAsia" w:hAnsiTheme="minorEastAsia"/>
                <w:b/>
                <w:szCs w:val="21"/>
              </w:rPr>
              <w:t>合计</w:t>
            </w:r>
          </w:p>
        </w:tc>
        <w:tc>
          <w:tcPr>
            <w:tcW w:w="744"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r>
              <w:rPr>
                <w:rFonts w:asciiTheme="minorEastAsia" w:hAnsiTheme="minorEastAsia"/>
                <w:b/>
                <w:szCs w:val="21"/>
              </w:rPr>
              <w:t>35</w:t>
            </w:r>
            <w:r>
              <w:rPr>
                <w:rFonts w:hint="eastAsia" w:asciiTheme="minorEastAsia" w:hAnsiTheme="minorEastAsia"/>
                <w:b/>
                <w:szCs w:val="21"/>
              </w:rPr>
              <w:t>岁</w:t>
            </w:r>
          </w:p>
          <w:p>
            <w:pPr>
              <w:spacing w:line="380" w:lineRule="exact"/>
              <w:jc w:val="center"/>
              <w:rPr>
                <w:rFonts w:asciiTheme="minorEastAsia" w:hAnsiTheme="minorEastAsia"/>
                <w:b/>
                <w:szCs w:val="21"/>
              </w:rPr>
            </w:pPr>
            <w:r>
              <w:rPr>
                <w:rFonts w:hint="eastAsia" w:asciiTheme="minorEastAsia" w:hAnsiTheme="minorEastAsia"/>
                <w:b/>
                <w:szCs w:val="21"/>
              </w:rPr>
              <w:t>以下</w:t>
            </w:r>
          </w:p>
        </w:tc>
        <w:tc>
          <w:tcPr>
            <w:tcW w:w="70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r>
              <w:rPr>
                <w:rFonts w:asciiTheme="minorEastAsia" w:hAnsiTheme="minorEastAsia"/>
                <w:b/>
                <w:szCs w:val="21"/>
              </w:rPr>
              <w:t>36</w:t>
            </w:r>
            <w:r>
              <w:rPr>
                <w:rFonts w:hint="eastAsia" w:asciiTheme="minorEastAsia" w:hAnsiTheme="minorEastAsia"/>
                <w:b/>
                <w:szCs w:val="21"/>
              </w:rPr>
              <w:t>至</w:t>
            </w:r>
          </w:p>
          <w:p>
            <w:pPr>
              <w:spacing w:line="380" w:lineRule="exact"/>
              <w:jc w:val="center"/>
              <w:rPr>
                <w:rFonts w:asciiTheme="minorEastAsia" w:hAnsiTheme="minorEastAsia"/>
                <w:b/>
                <w:szCs w:val="21"/>
              </w:rPr>
            </w:pPr>
            <w:r>
              <w:rPr>
                <w:rFonts w:asciiTheme="minorEastAsia" w:hAnsiTheme="minorEastAsia"/>
                <w:b/>
                <w:szCs w:val="21"/>
              </w:rPr>
              <w:t>45</w:t>
            </w:r>
            <w:r>
              <w:rPr>
                <w:rFonts w:hint="eastAsia" w:asciiTheme="minorEastAsia" w:hAnsiTheme="minorEastAsia"/>
                <w:b/>
                <w:szCs w:val="21"/>
              </w:rPr>
              <w:t>岁</w:t>
            </w:r>
          </w:p>
        </w:tc>
        <w:tc>
          <w:tcPr>
            <w:tcW w:w="801"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r>
              <w:rPr>
                <w:rFonts w:asciiTheme="minorEastAsia" w:hAnsiTheme="minorEastAsia"/>
                <w:b/>
                <w:szCs w:val="21"/>
              </w:rPr>
              <w:t>46</w:t>
            </w:r>
            <w:r>
              <w:rPr>
                <w:rFonts w:hint="eastAsia" w:asciiTheme="minorEastAsia" w:hAnsiTheme="minorEastAsia"/>
                <w:b/>
                <w:szCs w:val="21"/>
              </w:rPr>
              <w:t>至</w:t>
            </w:r>
          </w:p>
          <w:p>
            <w:pPr>
              <w:spacing w:line="380" w:lineRule="exact"/>
              <w:jc w:val="center"/>
              <w:rPr>
                <w:rFonts w:asciiTheme="minorEastAsia" w:hAnsiTheme="minorEastAsia"/>
                <w:b/>
                <w:szCs w:val="21"/>
              </w:rPr>
            </w:pPr>
            <w:r>
              <w:rPr>
                <w:rFonts w:asciiTheme="minorEastAsia" w:hAnsiTheme="minorEastAsia"/>
                <w:b/>
                <w:szCs w:val="21"/>
              </w:rPr>
              <w:t>55</w:t>
            </w:r>
            <w:r>
              <w:rPr>
                <w:rFonts w:hint="eastAsia" w:asciiTheme="minorEastAsia" w:hAnsiTheme="minorEastAsia"/>
                <w:b/>
                <w:szCs w:val="21"/>
              </w:rPr>
              <w:t>岁</w:t>
            </w:r>
          </w:p>
        </w:tc>
        <w:tc>
          <w:tcPr>
            <w:tcW w:w="838"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r>
              <w:rPr>
                <w:rFonts w:asciiTheme="minorEastAsia" w:hAnsiTheme="minorEastAsia"/>
                <w:b/>
                <w:szCs w:val="21"/>
              </w:rPr>
              <w:t>56</w:t>
            </w:r>
            <w:r>
              <w:rPr>
                <w:rFonts w:hint="eastAsia" w:asciiTheme="minorEastAsia" w:hAnsiTheme="minorEastAsia"/>
                <w:b/>
                <w:szCs w:val="21"/>
              </w:rPr>
              <w:t>至</w:t>
            </w:r>
          </w:p>
          <w:p>
            <w:pPr>
              <w:spacing w:line="380" w:lineRule="exact"/>
              <w:jc w:val="center"/>
              <w:rPr>
                <w:rFonts w:asciiTheme="minorEastAsia" w:hAnsiTheme="minorEastAsia"/>
                <w:b/>
                <w:szCs w:val="21"/>
              </w:rPr>
            </w:pPr>
            <w:r>
              <w:rPr>
                <w:rFonts w:asciiTheme="minorEastAsia" w:hAnsiTheme="minorEastAsia"/>
                <w:b/>
                <w:szCs w:val="21"/>
              </w:rPr>
              <w:t>60</w:t>
            </w:r>
            <w:r>
              <w:rPr>
                <w:rFonts w:hint="eastAsia" w:asciiTheme="minorEastAsia" w:hAnsiTheme="minorEastAsia"/>
                <w:b/>
                <w:szCs w:val="21"/>
              </w:rPr>
              <w:t>岁</w:t>
            </w:r>
          </w:p>
        </w:tc>
        <w:tc>
          <w:tcPr>
            <w:tcW w:w="796" w:type="dxa"/>
            <w:tcBorders>
              <w:top w:val="single" w:color="auto" w:sz="6" w:space="0"/>
              <w:left w:val="single" w:color="auto" w:sz="6" w:space="0"/>
              <w:bottom w:val="single" w:color="auto" w:sz="6" w:space="0"/>
              <w:right w:val="single" w:color="auto" w:sz="2" w:space="0"/>
            </w:tcBorders>
            <w:vAlign w:val="center"/>
          </w:tcPr>
          <w:p>
            <w:pPr>
              <w:spacing w:line="380" w:lineRule="exact"/>
              <w:jc w:val="center"/>
              <w:rPr>
                <w:rFonts w:asciiTheme="minorEastAsia" w:hAnsiTheme="minorEastAsia"/>
                <w:b/>
                <w:szCs w:val="21"/>
              </w:rPr>
            </w:pPr>
            <w:r>
              <w:rPr>
                <w:rFonts w:asciiTheme="minorEastAsia" w:hAnsiTheme="minorEastAsia"/>
                <w:b/>
                <w:szCs w:val="21"/>
              </w:rPr>
              <w:t>61</w:t>
            </w:r>
            <w:r>
              <w:rPr>
                <w:rFonts w:hint="eastAsia" w:asciiTheme="minorEastAsia" w:hAnsiTheme="minorEastAsia"/>
                <w:b/>
                <w:szCs w:val="21"/>
              </w:rPr>
              <w:t>岁</w:t>
            </w:r>
          </w:p>
          <w:p>
            <w:pPr>
              <w:spacing w:line="380" w:lineRule="exact"/>
              <w:jc w:val="center"/>
              <w:rPr>
                <w:rFonts w:asciiTheme="minorEastAsia" w:hAnsiTheme="minorEastAsia"/>
                <w:b/>
                <w:szCs w:val="21"/>
              </w:rPr>
            </w:pPr>
            <w:r>
              <w:rPr>
                <w:rFonts w:hint="eastAsia" w:asciiTheme="minorEastAsia" w:hAnsiTheme="minorEastAsia"/>
                <w:b/>
                <w:szCs w:val="21"/>
              </w:rPr>
              <w:t>以上</w:t>
            </w:r>
          </w:p>
        </w:tc>
        <w:tc>
          <w:tcPr>
            <w:tcW w:w="976" w:type="dxa"/>
            <w:tcBorders>
              <w:top w:val="single" w:color="auto" w:sz="6" w:space="0"/>
              <w:left w:val="single" w:color="auto" w:sz="2" w:space="0"/>
              <w:bottom w:val="single" w:color="auto" w:sz="6" w:space="0"/>
              <w:right w:val="single" w:color="auto" w:sz="2" w:space="0"/>
            </w:tcBorders>
            <w:vAlign w:val="center"/>
          </w:tcPr>
          <w:p>
            <w:pPr>
              <w:spacing w:line="380" w:lineRule="exact"/>
              <w:jc w:val="center"/>
              <w:rPr>
                <w:rFonts w:asciiTheme="minorEastAsia" w:hAnsiTheme="minorEastAsia"/>
                <w:b/>
                <w:szCs w:val="21"/>
              </w:rPr>
            </w:pPr>
            <w:r>
              <w:rPr>
                <w:rFonts w:hint="eastAsia" w:asciiTheme="minorEastAsia" w:hAnsiTheme="minorEastAsia"/>
                <w:b/>
                <w:szCs w:val="21"/>
              </w:rPr>
              <w:t>具有博士学位人数</w:t>
            </w:r>
          </w:p>
        </w:tc>
        <w:tc>
          <w:tcPr>
            <w:tcW w:w="982" w:type="dxa"/>
            <w:tcBorders>
              <w:top w:val="single" w:color="auto" w:sz="6" w:space="0"/>
              <w:left w:val="single" w:color="auto" w:sz="2" w:space="0"/>
              <w:bottom w:val="single" w:color="auto" w:sz="6" w:space="0"/>
              <w:right w:val="single" w:color="auto" w:sz="6" w:space="0"/>
            </w:tcBorders>
            <w:vAlign w:val="center"/>
          </w:tcPr>
          <w:p>
            <w:pPr>
              <w:spacing w:line="380" w:lineRule="exact"/>
              <w:jc w:val="center"/>
              <w:rPr>
                <w:rFonts w:asciiTheme="minorEastAsia" w:hAnsiTheme="minorEastAsia"/>
                <w:b/>
                <w:szCs w:val="21"/>
              </w:rPr>
            </w:pPr>
            <w:r>
              <w:rPr>
                <w:rFonts w:hint="eastAsia" w:asciiTheme="minorEastAsia" w:hAnsiTheme="minorEastAsia"/>
                <w:b/>
                <w:szCs w:val="21"/>
              </w:rPr>
              <w:t>具有硕士学位人数</w:t>
            </w:r>
          </w:p>
        </w:tc>
      </w:tr>
      <w:tr>
        <w:tblPrEx>
          <w:tblLayout w:type="fixed"/>
          <w:tblCellMar>
            <w:top w:w="6" w:type="dxa"/>
            <w:left w:w="28" w:type="dxa"/>
            <w:bottom w:w="0" w:type="dxa"/>
            <w:right w:w="28" w:type="dxa"/>
          </w:tblCellMar>
        </w:tblPrEx>
        <w:trPr>
          <w:trHeight w:val="340" w:hRule="atLeast"/>
        </w:trPr>
        <w:tc>
          <w:tcPr>
            <w:tcW w:w="3115"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80" w:lineRule="exact"/>
              <w:jc w:val="center"/>
              <w:rPr>
                <w:rFonts w:asciiTheme="minorEastAsia" w:hAnsiTheme="minorEastAsia"/>
                <w:b/>
                <w:szCs w:val="21"/>
              </w:rPr>
            </w:pPr>
            <w:r>
              <w:rPr>
                <w:rFonts w:hint="eastAsia" w:asciiTheme="minorEastAsia" w:hAnsiTheme="minorEastAsia"/>
                <w:b/>
                <w:szCs w:val="21"/>
              </w:rPr>
              <w:t>教授（或相当专业技术职务者）</w:t>
            </w:r>
          </w:p>
        </w:tc>
        <w:tc>
          <w:tcPr>
            <w:tcW w:w="788"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c>
          <w:tcPr>
            <w:tcW w:w="744"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c>
          <w:tcPr>
            <w:tcW w:w="801"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c>
          <w:tcPr>
            <w:tcW w:w="838"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c>
          <w:tcPr>
            <w:tcW w:w="796" w:type="dxa"/>
            <w:tcBorders>
              <w:top w:val="single" w:color="auto" w:sz="6" w:space="0"/>
              <w:left w:val="single" w:color="auto" w:sz="6" w:space="0"/>
              <w:bottom w:val="single" w:color="auto" w:sz="6" w:space="0"/>
              <w:right w:val="single" w:color="auto" w:sz="2" w:space="0"/>
            </w:tcBorders>
            <w:vAlign w:val="center"/>
          </w:tcPr>
          <w:p>
            <w:pPr>
              <w:spacing w:line="380" w:lineRule="exact"/>
              <w:jc w:val="center"/>
              <w:rPr>
                <w:rFonts w:asciiTheme="minorEastAsia" w:hAnsiTheme="minorEastAsia"/>
                <w:b/>
                <w:szCs w:val="21"/>
              </w:rPr>
            </w:pPr>
          </w:p>
        </w:tc>
        <w:tc>
          <w:tcPr>
            <w:tcW w:w="976" w:type="dxa"/>
            <w:vMerge w:val="restart"/>
            <w:tcBorders>
              <w:top w:val="single" w:color="auto" w:sz="6" w:space="0"/>
              <w:left w:val="single" w:color="auto" w:sz="2" w:space="0"/>
              <w:bottom w:val="single" w:color="auto" w:sz="6" w:space="0"/>
              <w:right w:val="single" w:color="auto" w:sz="2" w:space="0"/>
            </w:tcBorders>
            <w:vAlign w:val="center"/>
          </w:tcPr>
          <w:p>
            <w:pPr>
              <w:spacing w:line="380" w:lineRule="exact"/>
              <w:jc w:val="center"/>
              <w:rPr>
                <w:rFonts w:asciiTheme="minorEastAsia" w:hAnsiTheme="minorEastAsia"/>
                <w:b/>
                <w:szCs w:val="21"/>
              </w:rPr>
            </w:pPr>
          </w:p>
        </w:tc>
        <w:tc>
          <w:tcPr>
            <w:tcW w:w="982" w:type="dxa"/>
            <w:vMerge w:val="restart"/>
            <w:tcBorders>
              <w:top w:val="single" w:color="auto" w:sz="6" w:space="0"/>
              <w:left w:val="single" w:color="auto" w:sz="2"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r>
      <w:tr>
        <w:tblPrEx>
          <w:tblLayout w:type="fixed"/>
          <w:tblCellMar>
            <w:top w:w="6" w:type="dxa"/>
            <w:left w:w="28" w:type="dxa"/>
            <w:bottom w:w="0" w:type="dxa"/>
            <w:right w:w="28" w:type="dxa"/>
          </w:tblCellMar>
        </w:tblPrEx>
        <w:trPr>
          <w:trHeight w:val="340" w:hRule="atLeast"/>
        </w:trPr>
        <w:tc>
          <w:tcPr>
            <w:tcW w:w="3115"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80" w:lineRule="exact"/>
              <w:jc w:val="center"/>
              <w:rPr>
                <w:rFonts w:asciiTheme="minorEastAsia" w:hAnsiTheme="minorEastAsia"/>
                <w:b/>
                <w:szCs w:val="21"/>
              </w:rPr>
            </w:pPr>
            <w:r>
              <w:rPr>
                <w:rFonts w:hint="eastAsia" w:asciiTheme="minorEastAsia" w:hAnsiTheme="minorEastAsia"/>
                <w:b/>
                <w:szCs w:val="21"/>
              </w:rPr>
              <w:t>副教授（或相当专业技术职务者）</w:t>
            </w:r>
          </w:p>
        </w:tc>
        <w:tc>
          <w:tcPr>
            <w:tcW w:w="788"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c>
          <w:tcPr>
            <w:tcW w:w="744"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c>
          <w:tcPr>
            <w:tcW w:w="801"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c>
          <w:tcPr>
            <w:tcW w:w="838"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c>
          <w:tcPr>
            <w:tcW w:w="796" w:type="dxa"/>
            <w:tcBorders>
              <w:top w:val="single" w:color="auto" w:sz="6" w:space="0"/>
              <w:left w:val="single" w:color="auto" w:sz="6" w:space="0"/>
              <w:bottom w:val="single" w:color="auto" w:sz="6" w:space="0"/>
              <w:right w:val="single" w:color="auto" w:sz="2" w:space="0"/>
            </w:tcBorders>
            <w:vAlign w:val="center"/>
          </w:tcPr>
          <w:p>
            <w:pPr>
              <w:spacing w:line="380" w:lineRule="exact"/>
              <w:jc w:val="center"/>
              <w:rPr>
                <w:rFonts w:asciiTheme="minorEastAsia" w:hAnsiTheme="minorEastAsia"/>
                <w:b/>
                <w:szCs w:val="21"/>
              </w:rPr>
            </w:pPr>
          </w:p>
        </w:tc>
        <w:tc>
          <w:tcPr>
            <w:tcW w:w="976" w:type="dxa"/>
            <w:vMerge w:val="continue"/>
            <w:tcBorders>
              <w:top w:val="single" w:color="auto" w:sz="6" w:space="0"/>
              <w:left w:val="single" w:color="auto" w:sz="2" w:space="0"/>
              <w:bottom w:val="single" w:color="auto" w:sz="6" w:space="0"/>
              <w:right w:val="single" w:color="auto" w:sz="2" w:space="0"/>
            </w:tcBorders>
            <w:vAlign w:val="center"/>
          </w:tcPr>
          <w:p>
            <w:pPr>
              <w:spacing w:line="380" w:lineRule="exact"/>
              <w:jc w:val="center"/>
              <w:rPr>
                <w:rFonts w:asciiTheme="minorEastAsia" w:hAnsiTheme="minorEastAsia"/>
                <w:b/>
                <w:szCs w:val="21"/>
              </w:rPr>
            </w:pPr>
          </w:p>
        </w:tc>
        <w:tc>
          <w:tcPr>
            <w:tcW w:w="982" w:type="dxa"/>
            <w:vMerge w:val="continue"/>
            <w:tcBorders>
              <w:top w:val="single" w:color="auto" w:sz="6" w:space="0"/>
              <w:left w:val="single" w:color="auto" w:sz="2"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r>
      <w:tr>
        <w:tblPrEx>
          <w:tblLayout w:type="fixed"/>
          <w:tblCellMar>
            <w:top w:w="6" w:type="dxa"/>
            <w:left w:w="28" w:type="dxa"/>
            <w:bottom w:w="0" w:type="dxa"/>
            <w:right w:w="28" w:type="dxa"/>
          </w:tblCellMar>
        </w:tblPrEx>
        <w:trPr>
          <w:trHeight w:val="340" w:hRule="atLeast"/>
        </w:trPr>
        <w:tc>
          <w:tcPr>
            <w:tcW w:w="3115"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380" w:lineRule="exact"/>
              <w:jc w:val="center"/>
              <w:rPr>
                <w:rFonts w:asciiTheme="minorEastAsia" w:hAnsiTheme="minorEastAsia"/>
                <w:b/>
                <w:szCs w:val="21"/>
              </w:rPr>
            </w:pPr>
            <w:r>
              <w:rPr>
                <w:rFonts w:hint="eastAsia" w:asciiTheme="minorEastAsia" w:hAnsiTheme="minorEastAsia"/>
                <w:b/>
                <w:szCs w:val="21"/>
              </w:rPr>
              <w:t>讲师（或相当专业技术职务者）</w:t>
            </w:r>
          </w:p>
        </w:tc>
        <w:tc>
          <w:tcPr>
            <w:tcW w:w="788"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c>
          <w:tcPr>
            <w:tcW w:w="744"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c>
          <w:tcPr>
            <w:tcW w:w="801"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c>
          <w:tcPr>
            <w:tcW w:w="838"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c>
          <w:tcPr>
            <w:tcW w:w="796" w:type="dxa"/>
            <w:tcBorders>
              <w:top w:val="single" w:color="auto" w:sz="6" w:space="0"/>
              <w:left w:val="single" w:color="auto" w:sz="6" w:space="0"/>
              <w:bottom w:val="single" w:color="auto" w:sz="6" w:space="0"/>
              <w:right w:val="single" w:color="auto" w:sz="2" w:space="0"/>
            </w:tcBorders>
            <w:vAlign w:val="center"/>
          </w:tcPr>
          <w:p>
            <w:pPr>
              <w:spacing w:line="380" w:lineRule="exact"/>
              <w:jc w:val="center"/>
              <w:rPr>
                <w:rFonts w:asciiTheme="minorEastAsia" w:hAnsiTheme="minorEastAsia"/>
                <w:b/>
                <w:szCs w:val="21"/>
              </w:rPr>
            </w:pPr>
          </w:p>
        </w:tc>
        <w:tc>
          <w:tcPr>
            <w:tcW w:w="976" w:type="dxa"/>
            <w:vMerge w:val="continue"/>
            <w:tcBorders>
              <w:top w:val="single" w:color="auto" w:sz="6" w:space="0"/>
              <w:left w:val="single" w:color="auto" w:sz="2" w:space="0"/>
              <w:bottom w:val="single" w:color="auto" w:sz="6" w:space="0"/>
              <w:right w:val="single" w:color="auto" w:sz="2" w:space="0"/>
            </w:tcBorders>
            <w:vAlign w:val="center"/>
          </w:tcPr>
          <w:p>
            <w:pPr>
              <w:spacing w:line="380" w:lineRule="exact"/>
              <w:jc w:val="center"/>
              <w:rPr>
                <w:rFonts w:asciiTheme="minorEastAsia" w:hAnsiTheme="minorEastAsia"/>
                <w:b/>
                <w:szCs w:val="21"/>
              </w:rPr>
            </w:pPr>
          </w:p>
        </w:tc>
        <w:tc>
          <w:tcPr>
            <w:tcW w:w="982" w:type="dxa"/>
            <w:vMerge w:val="continue"/>
            <w:tcBorders>
              <w:top w:val="single" w:color="auto" w:sz="6" w:space="0"/>
              <w:left w:val="single" w:color="auto" w:sz="2" w:space="0"/>
              <w:bottom w:val="single" w:color="auto" w:sz="6" w:space="0"/>
              <w:right w:val="single" w:color="auto" w:sz="6" w:space="0"/>
            </w:tcBorders>
            <w:vAlign w:val="center"/>
          </w:tcPr>
          <w:p>
            <w:pPr>
              <w:spacing w:line="380" w:lineRule="exact"/>
              <w:jc w:val="center"/>
              <w:rPr>
                <w:rFonts w:asciiTheme="minorEastAsia" w:hAnsiTheme="minorEastAsia"/>
                <w:b/>
                <w:szCs w:val="21"/>
              </w:rPr>
            </w:pPr>
          </w:p>
        </w:tc>
      </w:tr>
    </w:tbl>
    <w:p>
      <w:pPr>
        <w:spacing w:beforeLines="50" w:line="380" w:lineRule="exact"/>
        <w:jc w:val="center"/>
        <w:rPr>
          <w:rFonts w:asciiTheme="minorEastAsia" w:hAnsiTheme="minorEastAsia"/>
          <w:b/>
          <w:sz w:val="28"/>
          <w:szCs w:val="28"/>
        </w:rPr>
      </w:pPr>
      <w:r>
        <w:rPr>
          <w:rFonts w:hint="eastAsia" w:asciiTheme="minorEastAsia" w:hAnsiTheme="minorEastAsia"/>
          <w:b/>
          <w:sz w:val="28"/>
          <w:szCs w:val="28"/>
        </w:rPr>
        <w:t>表三：历年招生、毕业生情况</w:t>
      </w:r>
    </w:p>
    <w:tbl>
      <w:tblPr>
        <w:tblStyle w:val="5"/>
        <w:tblpPr w:leftFromText="180" w:rightFromText="180" w:vertAnchor="text" w:horzAnchor="page" w:tblpX="1212" w:tblpY="3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2160"/>
        <w:gridCol w:w="2160"/>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28" w:type="dxa"/>
            <w:vAlign w:val="center"/>
          </w:tcPr>
          <w:p>
            <w:pPr>
              <w:spacing w:line="380" w:lineRule="exact"/>
              <w:jc w:val="center"/>
              <w:rPr>
                <w:rFonts w:asciiTheme="minorEastAsia" w:hAnsiTheme="minorEastAsia"/>
                <w:b/>
                <w:szCs w:val="21"/>
              </w:rPr>
            </w:pPr>
            <w:r>
              <w:rPr>
                <w:rFonts w:hint="eastAsia" w:asciiTheme="minorEastAsia" w:hAnsiTheme="minorEastAsia"/>
                <w:b/>
                <w:szCs w:val="21"/>
              </w:rPr>
              <w:t>年份</w:t>
            </w:r>
          </w:p>
        </w:tc>
        <w:tc>
          <w:tcPr>
            <w:tcW w:w="2160" w:type="dxa"/>
            <w:vAlign w:val="center"/>
          </w:tcPr>
          <w:p>
            <w:pPr>
              <w:spacing w:line="380" w:lineRule="exact"/>
              <w:jc w:val="center"/>
              <w:rPr>
                <w:rFonts w:asciiTheme="minorEastAsia" w:hAnsiTheme="minorEastAsia"/>
                <w:b/>
                <w:szCs w:val="21"/>
              </w:rPr>
            </w:pPr>
            <w:r>
              <w:rPr>
                <w:rFonts w:hint="eastAsia" w:asciiTheme="minorEastAsia" w:hAnsiTheme="minorEastAsia"/>
                <w:b/>
                <w:szCs w:val="21"/>
              </w:rPr>
              <w:t>报名数</w:t>
            </w:r>
          </w:p>
        </w:tc>
        <w:tc>
          <w:tcPr>
            <w:tcW w:w="2160" w:type="dxa"/>
            <w:vAlign w:val="center"/>
          </w:tcPr>
          <w:p>
            <w:pPr>
              <w:spacing w:line="380" w:lineRule="exact"/>
              <w:jc w:val="center"/>
              <w:rPr>
                <w:rFonts w:asciiTheme="minorEastAsia" w:hAnsiTheme="minorEastAsia"/>
                <w:b/>
                <w:szCs w:val="21"/>
              </w:rPr>
            </w:pPr>
            <w:r>
              <w:rPr>
                <w:rFonts w:hint="eastAsia" w:asciiTheme="minorEastAsia" w:hAnsiTheme="minorEastAsia"/>
                <w:b/>
                <w:szCs w:val="21"/>
              </w:rPr>
              <w:t>录取数</w:t>
            </w:r>
          </w:p>
        </w:tc>
        <w:tc>
          <w:tcPr>
            <w:tcW w:w="2916" w:type="dxa"/>
            <w:vAlign w:val="center"/>
          </w:tcPr>
          <w:p>
            <w:pPr>
              <w:spacing w:line="380" w:lineRule="exact"/>
              <w:jc w:val="center"/>
              <w:rPr>
                <w:rFonts w:asciiTheme="minorEastAsia" w:hAnsiTheme="minorEastAsia"/>
                <w:b/>
                <w:szCs w:val="21"/>
              </w:rPr>
            </w:pPr>
            <w:r>
              <w:rPr>
                <w:rFonts w:hint="eastAsia" w:asciiTheme="minorEastAsia" w:hAnsiTheme="minorEastAsia"/>
                <w:b/>
                <w:szCs w:val="21"/>
              </w:rPr>
              <w:t>毕业生数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28" w:type="dxa"/>
            <w:vAlign w:val="center"/>
          </w:tcPr>
          <w:p>
            <w:pPr>
              <w:spacing w:line="380" w:lineRule="exact"/>
              <w:jc w:val="center"/>
              <w:rPr>
                <w:rFonts w:asciiTheme="minorEastAsia" w:hAnsiTheme="minorEastAsia"/>
                <w:b/>
                <w:szCs w:val="21"/>
              </w:rPr>
            </w:pPr>
            <w:r>
              <w:rPr>
                <w:rFonts w:hint="eastAsia" w:asciiTheme="minorEastAsia" w:hAnsiTheme="minorEastAsia"/>
                <w:b/>
                <w:szCs w:val="21"/>
              </w:rPr>
              <w:t>2011</w:t>
            </w:r>
          </w:p>
          <w:p>
            <w:pPr>
              <w:spacing w:line="380" w:lineRule="exact"/>
              <w:jc w:val="center"/>
              <w:rPr>
                <w:rFonts w:asciiTheme="minorEastAsia" w:hAnsiTheme="minorEastAsia"/>
                <w:b/>
                <w:szCs w:val="21"/>
              </w:rPr>
            </w:pPr>
          </w:p>
        </w:tc>
        <w:tc>
          <w:tcPr>
            <w:tcW w:w="2160" w:type="dxa"/>
          </w:tcPr>
          <w:p>
            <w:pPr>
              <w:spacing w:afterLines="50" w:line="380" w:lineRule="exact"/>
              <w:rPr>
                <w:rFonts w:asciiTheme="minorEastAsia" w:hAnsiTheme="minorEastAsia"/>
                <w:b/>
                <w:szCs w:val="21"/>
              </w:rPr>
            </w:pPr>
          </w:p>
        </w:tc>
        <w:tc>
          <w:tcPr>
            <w:tcW w:w="2160" w:type="dxa"/>
          </w:tcPr>
          <w:p>
            <w:pPr>
              <w:spacing w:afterLines="50" w:line="380" w:lineRule="exact"/>
              <w:rPr>
                <w:rFonts w:asciiTheme="minorEastAsia" w:hAnsiTheme="minorEastAsia"/>
                <w:b/>
                <w:szCs w:val="21"/>
              </w:rPr>
            </w:pPr>
          </w:p>
        </w:tc>
        <w:tc>
          <w:tcPr>
            <w:tcW w:w="2916" w:type="dxa"/>
          </w:tcPr>
          <w:p>
            <w:pPr>
              <w:spacing w:afterLines="50" w:line="380" w:lineRule="exact"/>
              <w:rPr>
                <w:rFonts w:asciiTheme="minorEastAsia" w:hAnsiTheme="minorEastAsia"/>
                <w:b/>
                <w:szCs w:val="21"/>
              </w:rPr>
            </w:pPr>
            <w:r>
              <w:rPr>
                <w:rFonts w:hint="eastAsia" w:asciiTheme="minorEastAsia" w:hAnsiTheme="minorEastAsia"/>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28" w:type="dxa"/>
            <w:vAlign w:val="center"/>
          </w:tcPr>
          <w:p>
            <w:pPr>
              <w:spacing w:line="380" w:lineRule="exact"/>
              <w:jc w:val="center"/>
              <w:rPr>
                <w:rFonts w:asciiTheme="minorEastAsia" w:hAnsiTheme="minorEastAsia"/>
                <w:b/>
                <w:szCs w:val="21"/>
              </w:rPr>
            </w:pPr>
            <w:r>
              <w:rPr>
                <w:rFonts w:hint="eastAsia" w:asciiTheme="minorEastAsia" w:hAnsiTheme="minorEastAsia"/>
                <w:b/>
                <w:szCs w:val="21"/>
              </w:rPr>
              <w:t>2012</w:t>
            </w:r>
          </w:p>
        </w:tc>
        <w:tc>
          <w:tcPr>
            <w:tcW w:w="2160" w:type="dxa"/>
          </w:tcPr>
          <w:p>
            <w:pPr>
              <w:spacing w:afterLines="50" w:line="380" w:lineRule="exact"/>
              <w:rPr>
                <w:rFonts w:asciiTheme="minorEastAsia" w:hAnsiTheme="minorEastAsia"/>
                <w:b/>
                <w:szCs w:val="21"/>
              </w:rPr>
            </w:pPr>
          </w:p>
        </w:tc>
        <w:tc>
          <w:tcPr>
            <w:tcW w:w="2160" w:type="dxa"/>
          </w:tcPr>
          <w:p>
            <w:pPr>
              <w:spacing w:afterLines="50" w:line="380" w:lineRule="exact"/>
              <w:rPr>
                <w:rFonts w:asciiTheme="minorEastAsia" w:hAnsiTheme="minorEastAsia"/>
                <w:b/>
                <w:szCs w:val="21"/>
              </w:rPr>
            </w:pPr>
          </w:p>
        </w:tc>
        <w:tc>
          <w:tcPr>
            <w:tcW w:w="2916" w:type="dxa"/>
          </w:tcPr>
          <w:p>
            <w:pPr>
              <w:spacing w:afterLines="50" w:line="380" w:lineRule="exact"/>
              <w:rPr>
                <w:rFonts w:asciiTheme="minorEastAsia" w:hAnsiTheme="minorEastAsia"/>
                <w:b/>
                <w:szCs w:val="21"/>
              </w:rPr>
            </w:pPr>
            <w:r>
              <w:rPr>
                <w:rFonts w:hint="eastAsia" w:asciiTheme="minorEastAsia" w:hAnsiTheme="minorEastAsia"/>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28" w:type="dxa"/>
            <w:vAlign w:val="center"/>
          </w:tcPr>
          <w:p>
            <w:pPr>
              <w:spacing w:line="380" w:lineRule="exact"/>
              <w:jc w:val="center"/>
              <w:rPr>
                <w:rFonts w:asciiTheme="minorEastAsia" w:hAnsiTheme="minorEastAsia"/>
                <w:b/>
                <w:szCs w:val="21"/>
              </w:rPr>
            </w:pPr>
            <w:r>
              <w:rPr>
                <w:rFonts w:hint="eastAsia" w:asciiTheme="minorEastAsia" w:hAnsiTheme="minorEastAsia"/>
                <w:b/>
                <w:szCs w:val="21"/>
              </w:rPr>
              <w:t>2013</w:t>
            </w:r>
          </w:p>
        </w:tc>
        <w:tc>
          <w:tcPr>
            <w:tcW w:w="2160" w:type="dxa"/>
          </w:tcPr>
          <w:p>
            <w:pPr>
              <w:spacing w:afterLines="50" w:line="380" w:lineRule="exact"/>
              <w:rPr>
                <w:rFonts w:asciiTheme="minorEastAsia" w:hAnsiTheme="minorEastAsia"/>
                <w:b/>
                <w:szCs w:val="21"/>
              </w:rPr>
            </w:pPr>
          </w:p>
        </w:tc>
        <w:tc>
          <w:tcPr>
            <w:tcW w:w="2160" w:type="dxa"/>
          </w:tcPr>
          <w:p>
            <w:pPr>
              <w:spacing w:afterLines="50" w:line="380" w:lineRule="exact"/>
              <w:rPr>
                <w:rFonts w:asciiTheme="minorEastAsia" w:hAnsiTheme="minorEastAsia"/>
                <w:b/>
                <w:szCs w:val="21"/>
              </w:rPr>
            </w:pPr>
          </w:p>
        </w:tc>
        <w:tc>
          <w:tcPr>
            <w:tcW w:w="2916" w:type="dxa"/>
          </w:tcPr>
          <w:p>
            <w:pPr>
              <w:spacing w:afterLines="50" w:line="380" w:lineRule="exact"/>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2228" w:type="dxa"/>
            <w:vAlign w:val="center"/>
          </w:tcPr>
          <w:p>
            <w:pPr>
              <w:spacing w:line="380" w:lineRule="exact"/>
              <w:jc w:val="center"/>
              <w:rPr>
                <w:rFonts w:asciiTheme="minorEastAsia" w:hAnsiTheme="minorEastAsia"/>
                <w:b/>
                <w:szCs w:val="21"/>
              </w:rPr>
            </w:pPr>
            <w:r>
              <w:rPr>
                <w:rFonts w:hint="eastAsia" w:asciiTheme="minorEastAsia" w:hAnsiTheme="minorEastAsia"/>
                <w:b/>
                <w:szCs w:val="21"/>
              </w:rPr>
              <w:t>2014</w:t>
            </w:r>
          </w:p>
        </w:tc>
        <w:tc>
          <w:tcPr>
            <w:tcW w:w="2160" w:type="dxa"/>
          </w:tcPr>
          <w:p>
            <w:pPr>
              <w:spacing w:afterLines="50" w:line="380" w:lineRule="exact"/>
              <w:rPr>
                <w:rFonts w:asciiTheme="minorEastAsia" w:hAnsiTheme="minorEastAsia"/>
                <w:b/>
                <w:szCs w:val="21"/>
              </w:rPr>
            </w:pPr>
          </w:p>
        </w:tc>
        <w:tc>
          <w:tcPr>
            <w:tcW w:w="2160" w:type="dxa"/>
          </w:tcPr>
          <w:p>
            <w:pPr>
              <w:spacing w:afterLines="50" w:line="380" w:lineRule="exact"/>
              <w:rPr>
                <w:rFonts w:asciiTheme="minorEastAsia" w:hAnsiTheme="minorEastAsia"/>
                <w:b/>
                <w:szCs w:val="21"/>
              </w:rPr>
            </w:pPr>
          </w:p>
        </w:tc>
        <w:tc>
          <w:tcPr>
            <w:tcW w:w="2916" w:type="dxa"/>
          </w:tcPr>
          <w:p>
            <w:pPr>
              <w:spacing w:afterLines="50" w:line="380" w:lineRule="exact"/>
              <w:rPr>
                <w:rFonts w:asciiTheme="minorEastAsia" w:hAnsiTheme="minorEastAsia"/>
                <w:b/>
                <w:szCs w:val="21"/>
              </w:rPr>
            </w:pPr>
          </w:p>
        </w:tc>
      </w:tr>
    </w:tbl>
    <w:p>
      <w:pPr>
        <w:widowControl/>
        <w:spacing w:before="100" w:beforeAutospacing="1" w:after="300" w:line="384" w:lineRule="atLeast"/>
        <w:jc w:val="left"/>
        <w:rPr>
          <w:rFonts w:ascii="宋体" w:hAnsi="宋体" w:eastAsia="宋体" w:cs="宋体"/>
          <w:color w:val="000000"/>
          <w:kern w:val="0"/>
          <w:sz w:val="28"/>
          <w:szCs w:val="28"/>
        </w:rPr>
      </w:pPr>
    </w:p>
    <w:p>
      <w:pPr>
        <w:widowControl/>
        <w:spacing w:before="100" w:beforeAutospacing="1" w:after="300" w:line="384" w:lineRule="atLeast"/>
        <w:jc w:val="left"/>
        <w:rPr>
          <w:rFonts w:ascii="宋体" w:hAnsi="宋体" w:eastAsia="宋体" w:cs="宋体"/>
          <w:color w:val="000000"/>
          <w:kern w:val="0"/>
          <w:sz w:val="28"/>
          <w:szCs w:val="28"/>
        </w:rPr>
      </w:pPr>
      <w:r>
        <w:rPr>
          <w:rFonts w:ascii="宋体" w:hAnsi="宋体" w:eastAsia="宋体" w:cs="宋体"/>
          <w:color w:val="000000"/>
          <w:kern w:val="0"/>
          <w:sz w:val="28"/>
          <w:szCs w:val="28"/>
        </w:rPr>
        <w:t>二、自我评估工作开展情况</w:t>
      </w:r>
    </w:p>
    <w:p>
      <w:pPr>
        <w:widowControl/>
        <w:spacing w:before="100" w:beforeAutospacing="1" w:after="300" w:line="384" w:lineRule="atLeast"/>
        <w:jc w:val="left"/>
        <w:rPr>
          <w:rFonts w:ascii="宋体" w:hAnsi="宋体" w:eastAsia="宋体" w:cs="宋体"/>
          <w:color w:val="000000"/>
          <w:kern w:val="0"/>
          <w:sz w:val="28"/>
          <w:szCs w:val="28"/>
        </w:rPr>
      </w:pPr>
      <w:r>
        <w:rPr>
          <w:rFonts w:ascii="宋体" w:hAnsi="宋体" w:eastAsia="宋体" w:cs="宋体"/>
          <w:color w:val="000000"/>
          <w:kern w:val="0"/>
          <w:sz w:val="28"/>
          <w:szCs w:val="28"/>
        </w:rPr>
        <w:t>【描述自我评估的组织机构、工作流程、日程安排等情况；提供自我评估所选聘的外单位同行评估专家名单；概括描述同行专家对本学位授权点的意见，包括目前存在的问题及相关改进建议。】</w:t>
      </w:r>
    </w:p>
    <w:p>
      <w:pPr>
        <w:widowControl/>
        <w:spacing w:before="100" w:beforeAutospacing="1" w:after="300" w:line="384" w:lineRule="atLeast"/>
        <w:jc w:val="left"/>
        <w:rPr>
          <w:rFonts w:ascii="宋体" w:hAnsi="宋体" w:eastAsia="宋体" w:cs="宋体"/>
          <w:color w:val="000000"/>
          <w:kern w:val="0"/>
          <w:sz w:val="28"/>
          <w:szCs w:val="28"/>
        </w:rPr>
      </w:pPr>
      <w:r>
        <w:rPr>
          <w:rFonts w:ascii="宋体" w:hAnsi="宋体" w:eastAsia="宋体" w:cs="宋体"/>
          <w:color w:val="000000"/>
          <w:kern w:val="0"/>
          <w:sz w:val="28"/>
          <w:szCs w:val="28"/>
        </w:rPr>
        <w:t>三、持续改进计划</w:t>
      </w:r>
    </w:p>
    <w:p>
      <w:pPr>
        <w:widowControl/>
        <w:spacing w:before="100" w:beforeAutospacing="1" w:after="300" w:line="384" w:lineRule="atLeast"/>
        <w:jc w:val="left"/>
        <w:rPr>
          <w:rFonts w:ascii="宋体" w:hAnsi="宋体" w:eastAsia="宋体" w:cs="宋体"/>
          <w:color w:val="000000"/>
          <w:kern w:val="0"/>
          <w:sz w:val="28"/>
          <w:szCs w:val="28"/>
        </w:rPr>
      </w:pPr>
      <w:r>
        <w:rPr>
          <w:rFonts w:ascii="宋体" w:hAnsi="宋体" w:eastAsia="宋体" w:cs="宋体"/>
          <w:color w:val="000000"/>
          <w:kern w:val="0"/>
          <w:sz w:val="28"/>
          <w:szCs w:val="28"/>
        </w:rPr>
        <w:t>【针对存在的问题，提出本学位授权点的持续改进计划，包括未来一段时间的发展目标和保障措施。】</w:t>
      </w:r>
    </w:p>
    <w:p>
      <w:pPr>
        <w:widowControl/>
        <w:spacing w:before="100" w:beforeAutospacing="1" w:after="300" w:line="384" w:lineRule="atLeast"/>
        <w:jc w:val="left"/>
        <w:rPr>
          <w:rFonts w:ascii="宋体" w:hAnsi="宋体" w:eastAsia="宋体" w:cs="宋体"/>
          <w:color w:val="000000"/>
          <w:kern w:val="0"/>
          <w:sz w:val="28"/>
          <w:szCs w:val="28"/>
        </w:rPr>
      </w:pPr>
      <w:r>
        <w:rPr>
          <w:rFonts w:ascii="宋体" w:hAnsi="宋体" w:eastAsia="宋体" w:cs="宋体"/>
          <w:color w:val="000000"/>
          <w:kern w:val="0"/>
          <w:sz w:val="28"/>
          <w:szCs w:val="28"/>
        </w:rPr>
        <w:t>附：本学位授权点培养方案、质量保障制度及其它相关证明文件</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39</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E39E2"/>
    <w:rsid w:val="203E39E2"/>
    <w:rsid w:val="34A657C2"/>
    <w:rsid w:val="7E8E31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2016-03-28T08:24:00Z</dcterms:created>
  <dc:creator>Administrator</dc:creator>
  <cp:lastModifiedBy>Administrator</cp:lastModifiedBy>
  <dcterms:modified xsi:type="dcterms:W3CDTF">2016-03-28T08:33:24Z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